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58" w:rsidRPr="00B07F41" w:rsidRDefault="00316558" w:rsidP="00B07F41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PROGRAM SEMESTER </w:t>
      </w:r>
      <w:proofErr w:type="gramStart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>( PROSEM</w:t>
      </w:r>
      <w:proofErr w:type="gramEnd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 )</w:t>
      </w:r>
    </w:p>
    <w:p w:rsidR="00316558" w:rsidRPr="00B07F41" w:rsidRDefault="00316558" w:rsidP="00B07F41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FASE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F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 KELAS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X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I</w:t>
      </w:r>
    </w:p>
    <w:p w:rsidR="00BF52B3" w:rsidRPr="00B07F41" w:rsidRDefault="00BF52B3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</w:pPr>
    </w:p>
    <w:p w:rsidR="00BF52B3" w:rsidRPr="00B07F41" w:rsidRDefault="00BF52B3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</w:pPr>
    </w:p>
    <w:p w:rsidR="00BF52B3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>Satuan Pendidikan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SMA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/MA </w:t>
      </w:r>
      <w:r w:rsidRPr="00B07F41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…………………….....................</w:t>
      </w:r>
    </w:p>
    <w:p w:rsidR="00BF52B3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 xml:space="preserve">Mata Pelajaran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ab/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ab/>
      </w:r>
      <w:r w:rsidR="00044670" w:rsidRPr="00B07F41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</w:p>
    <w:p w:rsidR="00BF52B3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 xml:space="preserve">Kelas /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>Semester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ab/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X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I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 xml:space="preserve"> (</w:t>
      </w:r>
      <w:proofErr w:type="spellStart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Sebelas</w:t>
      </w:r>
      <w:proofErr w:type="spellEnd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>) / 1</w:t>
      </w:r>
    </w:p>
    <w:p w:rsidR="00BF52B3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>Tahun Penyusunan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ab/>
        <w:t xml:space="preserve">20 </w:t>
      </w:r>
      <w:r w:rsidRPr="00B07F41">
        <w:rPr>
          <w:rFonts w:asciiTheme="majorBidi" w:hAnsiTheme="majorBidi" w:cstheme="majorBidi"/>
          <w:color w:val="000000" w:themeColor="text1"/>
          <w:sz w:val="24"/>
          <w:szCs w:val="24"/>
          <w:lang w:val="it-CH"/>
        </w:rPr>
        <w:t>.....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 xml:space="preserve"> / 20 </w:t>
      </w:r>
      <w:r w:rsidRPr="00B07F41">
        <w:rPr>
          <w:rFonts w:asciiTheme="majorBidi" w:hAnsiTheme="majorBidi" w:cstheme="majorBidi"/>
          <w:color w:val="000000" w:themeColor="text1"/>
          <w:sz w:val="24"/>
          <w:szCs w:val="24"/>
          <w:lang w:val="it-CH"/>
        </w:rPr>
        <w:t>.....</w:t>
      </w:r>
    </w:p>
    <w:p w:rsidR="00BF52B3" w:rsidRPr="00B07F41" w:rsidRDefault="00BF52B3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BF52B3" w:rsidRPr="00B07F41" w:rsidRDefault="00316558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CAPAIAN PEMBELAJARAN </w:t>
      </w:r>
      <w:proofErr w:type="gramStart"/>
      <w:r w:rsidR="00044670" w:rsidRPr="00B07F41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  <w:r w:rsidR="00044670"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FASE</w:t>
      </w:r>
      <w:proofErr w:type="gramEnd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F</w:t>
      </w:r>
    </w:p>
    <w:p w:rsidR="002A4F64" w:rsidRPr="00B07F41" w:rsidRDefault="00044670">
      <w:pPr>
        <w:spacing w:before="60" w:after="60" w:line="240" w:lineRule="auto"/>
        <w:ind w:right="-29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akhir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F,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mengidentifikasi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berbagai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akibat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yang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beragam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berpotensi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menyebabkan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konflik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kekerasan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secara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kritis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kreatif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solutif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kehidupan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di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Penerapan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prinsip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kesetaraan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perbedaan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mewujudkan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harmonis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integratif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menganalisis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perubahan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arus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dampak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perkembangan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teknologi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berupa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ketimpangan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problem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lainya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perilaku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lain-lain.</w:t>
      </w:r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merancang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strategi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melakukan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mengevaluasi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kegiatan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/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proyek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berbasis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kearifan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lokal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menyajikan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pelibatan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diri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kewirausahaan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</w:p>
    <w:p w:rsidR="002A4F64" w:rsidRPr="00B07F41" w:rsidRDefault="00044670">
      <w:pPr>
        <w:spacing w:before="60" w:after="60" w:line="240" w:lineRule="auto"/>
        <w:ind w:right="70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Elemen</w:t>
      </w:r>
      <w:proofErr w:type="spellEnd"/>
    </w:p>
    <w:tbl>
      <w:tblPr>
        <w:tblW w:w="145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1906"/>
      </w:tblGrid>
      <w:tr w:rsidR="00CB35F3" w:rsidRPr="00CB35F3" w:rsidTr="00044670"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F64" w:rsidRPr="00B07F41" w:rsidRDefault="00044670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F64" w:rsidRPr="00B07F41" w:rsidRDefault="00044670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</w:p>
        </w:tc>
      </w:tr>
      <w:tr w:rsidR="00CB35F3" w:rsidRPr="00CB35F3" w:rsidTr="00044670"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F64" w:rsidRPr="00B07F41" w:rsidRDefault="00044670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1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F64" w:rsidRPr="00B07F41" w:rsidRDefault="00044670">
            <w:pPr>
              <w:spacing w:before="60" w:after="60" w:line="240" w:lineRule="auto"/>
              <w:ind w:left="102" w:right="178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antarkelompok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prinsip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kesetaraan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terwujud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harmonis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integrasi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digital yang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terus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berubah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ketimpangan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eksistensi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4670" w:rsidRPr="00CB35F3" w:rsidTr="00044670"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F64" w:rsidRPr="00B07F41" w:rsidRDefault="00044670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1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F64" w:rsidRPr="00B07F41" w:rsidRDefault="00044670">
            <w:pPr>
              <w:spacing w:before="60" w:after="60" w:line="240" w:lineRule="auto"/>
              <w:ind w:left="102" w:right="71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berorientasi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ditengah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penelitiannya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lastRenderedPageBreak/>
              <w:t>samping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</w:t>
            </w:r>
            <w:bookmarkStart w:id="0" w:name="_GoBack"/>
            <w:bookmarkEnd w:id="0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mbangan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pemberdayaan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aktor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turut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kewirausahaan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menyajikan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merefleksikan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kolaboratif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A4F64" w:rsidRPr="00B07F41" w:rsidRDefault="002A4F64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B35F3" w:rsidRPr="00CB35F3" w:rsidTr="00B07F41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aps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aps/>
                <w:color w:val="000000" w:themeColor="text1"/>
                <w:sz w:val="24"/>
                <w:szCs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2A4F64" w:rsidRPr="00B07F41" w:rsidRDefault="002A4F64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2A4F64" w:rsidRPr="00B07F41" w:rsidRDefault="002A4F64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2A4F64" w:rsidRPr="00B07F41" w:rsidRDefault="002A4F64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</w:tr>
      <w:tr w:rsidR="00CB35F3" w:rsidRPr="00CB35F3" w:rsidTr="00B07F41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BAB </w:t>
            </w:r>
            <w:r w:rsidR="000E2290"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</w:t>
            </w: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 : </w:t>
            </w:r>
            <w:r w:rsidR="000E2290"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KELOMPOK SOSIAL</w:t>
            </w: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mendeskripsikan konsep kelompok sosial melalui diskusi terarah.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mengidentifikasi ciri kelompok sosial dengan menjawab pertanyaan secara tepat.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mendeskripsikan dasar pembentukan kelompok sosial.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mendeskripsikan perkembangan kelompok sosial secara sistematis.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konsep pengelompokan sosial disertai dengan contoh yang kontekstual.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membedakan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kelompok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kolektif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ciri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konsepnya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masing-masing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perbedaan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primer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sekunder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="000E2290" w:rsidRPr="00B07F4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in-group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luar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="000E2290" w:rsidRPr="00B07F4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out-group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diskusi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interaktif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11.1.9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didik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mengumpulkan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="000E2290" w:rsidRPr="00B07F4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in-group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luar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="000E2290" w:rsidRPr="00B07F4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out-group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11.1.10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mengklasifikasi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kelompok sosial berdasarkan pencarian informasi pada aktivitas pembelajaran.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mengumpulkan informasi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3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mendeskripsikan konsep dinamika kelompok sosial dengan tepat.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pengaruh kepemimpinan terhadap suatu dinamika kelompok sosial melalui contoh yang sesuai.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fungsi organisasi dalam dinamika kelompok sosial.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Peserta didik mampu menjelaskan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pentingnya jaringan sosial dalam dinamika kelompok sosial melalui penyelidikan kasus yang tepat.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pengaruh konformitas terhadap dinamika kelompok melalui analisis kasus yang relevan.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memilih topik/kasus dinamika kelompok sosial melalui telaah literatur.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menelaah dinamika kelompok sosial yang ada di lingkungan sekitarnya.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11.1.19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melakukan penyelidikan dan mengolah informasi menjadi karya tulis yang bernilai guna bagi kehidupan sosialnya.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11.1.20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menganalisis dinamika kelompok sosial berdasarkan aktivitas belajar.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11.1.21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mengolah informasi dinamika kelompok sosial dari berbagai sumber belajar.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B07F41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 xml:space="preserve">BAB 2 : </w:t>
            </w: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PERMASALAHAN SOSIAL AKIBAT PENGELOMPOKAN SOSIAL</w:t>
            </w: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mendeskripsikan konsep permasalahan sosial disertai kata kunci yang relevan.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mencari informasi tentang konsep permasalahan sosial dari berbagai sumber yang kredibel.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11.2.3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merumuskan konsep permasalahan sosial akibat pengelompokan sosial secara tepat.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mengolah informasi tentang konsep permasalahan sosial dari berbagai sumber belajar secara tepat.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menganalisis munculnya permasalahan sosial akibat pengelompokan sosial.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menyajikan informasi tentang penyebab munculnya permasalahan sosial akibat pengelompokan sosial.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2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mengidentifikasi ragam masalah sosial terkait pengelompokan sosial melalui diskusi kelompok secara kritis.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memilah informasi tentang ragam masalah sosial terkait pengelompokan sosial dari berbagai sumber belajar.</w:t>
            </w:r>
          </w:p>
          <w:p w:rsidR="000E2290" w:rsidRPr="00B07F41" w:rsidRDefault="00B412B6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11.2.9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ragam permasalahan sosial akibat pengelompokan sosial setelah berdiskusi kelompok.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11.2.10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Peserta didik mampu mengeksplorasi informasi tentang ragam permasalahan sosial akibat pengelompokan sosial dari berbagai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sumber belajar.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menyeleksi permasalahan sosial akibat pengelompokan sosial melalui diskusi berkelompok secara baik.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menyajikan informasi tentang permasalahan sosial akibat pengelompokan sosial dari berbagai sumber belajar secara baik.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3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merekomendasikan pemecahan masalah sosial berdasarkan sikap kritis setelah berdiskusi kelompok.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mengembangkan informasi tentang pemecahan masalah sosial dari berbagai sumber belajar.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merancang pemecahan masalah sosial berdasarkan aktivitas belajar dengan baik.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merumuskan pemecahan masalah sosial berdasarkan informasi dari berbagai sumber belajar.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mengumpulkan data untuk menyusun pemecahan masalah sosial berdasarkan aktivitas belajar dengan baik.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Peserta didik mampu menunjukkan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informasi tentang pemecahan masalah sosial dari sumber belajar dengan baik.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11.2.19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menampilkan alternatif pemecahan masalah sosial berdasarkan aktivitas belajar dengan baik.</w:t>
            </w:r>
          </w:p>
          <w:p w:rsidR="000E2290" w:rsidRPr="00B07F41" w:rsidRDefault="00B412B6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11.2.20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mendesain pemecahan masalah sosial dari aktivitas pencarian informasi dengan baik.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0E2290" w:rsidRPr="00B07F41" w:rsidRDefault="000E2290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</w:tbl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CB35F3" w:rsidRPr="00CB35F3" w:rsidTr="00D26CFE">
        <w:trPr>
          <w:trHeight w:val="564"/>
          <w:jc w:val="center"/>
        </w:trPr>
        <w:tc>
          <w:tcPr>
            <w:tcW w:w="3685" w:type="dxa"/>
          </w:tcPr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M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engetahui,</w:t>
            </w: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Kepala Sekolah</w:t>
            </w:r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008A8" w:rsidRPr="00B07F41" w:rsidRDefault="00D008A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2A4F64" w:rsidRPr="00B07F41" w:rsidRDefault="00316558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     NIP. 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85" w:type="dxa"/>
          </w:tcPr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………………. …………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20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.</w:t>
            </w: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..</w:t>
            </w: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..</w:t>
            </w: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Guru 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Mata </w:t>
            </w:r>
            <w:proofErr w:type="spellStart"/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008A8" w:rsidRPr="00B07F41" w:rsidRDefault="00D008A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2A4F64" w:rsidRPr="00B07F41" w:rsidRDefault="00316558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NIP. 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</w:tr>
    </w:tbl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p w:rsidR="002A4F64" w:rsidRPr="00B07F41" w:rsidRDefault="00316558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br w:type="page"/>
      </w:r>
    </w:p>
    <w:p w:rsidR="002A4F64" w:rsidRPr="00B07F41" w:rsidRDefault="00316558" w:rsidP="00B07F41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lastRenderedPageBreak/>
        <w:t xml:space="preserve">PROGRAM SEMESTER </w:t>
      </w:r>
      <w:proofErr w:type="gramStart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>( PROSEM</w:t>
      </w:r>
      <w:proofErr w:type="gramEnd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 )</w:t>
      </w:r>
    </w:p>
    <w:p w:rsidR="002A4F64" w:rsidRPr="00B07F41" w:rsidRDefault="00316558" w:rsidP="00B07F41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FASE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F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 xml:space="preserve"> KELAS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X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I</w:t>
      </w:r>
    </w:p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</w:pPr>
    </w:p>
    <w:p w:rsidR="002A4F64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>Satuan Pendidikan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SMA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/MA </w:t>
      </w:r>
      <w:r w:rsidRPr="00B07F41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…………………….....................</w:t>
      </w:r>
    </w:p>
    <w:p w:rsidR="002A4F64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 xml:space="preserve">Mata Pelajaran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ab/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fi-FI"/>
        </w:rPr>
        <w:tab/>
      </w:r>
      <w:r w:rsidR="007C6AD6" w:rsidRPr="00B07F41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</w:p>
    <w:p w:rsidR="002A4F64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 xml:space="preserve">Kelas / 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>Semester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ab/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X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I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 xml:space="preserve"> (</w:t>
      </w:r>
      <w:proofErr w:type="spellStart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>Sebelas</w:t>
      </w:r>
      <w:proofErr w:type="spellEnd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>) / 2</w:t>
      </w:r>
    </w:p>
    <w:p w:rsidR="002A4F64" w:rsidRPr="00B07F41" w:rsidRDefault="00316558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>Tahun Penyusunan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  <w:tab/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>: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ab/>
        <w:t xml:space="preserve">20 </w:t>
      </w:r>
      <w:r w:rsidRPr="00B07F41">
        <w:rPr>
          <w:rFonts w:asciiTheme="majorBidi" w:hAnsiTheme="majorBidi" w:cstheme="majorBidi"/>
          <w:color w:val="000000" w:themeColor="text1"/>
          <w:sz w:val="24"/>
          <w:szCs w:val="24"/>
          <w:lang w:val="it-CH"/>
        </w:rPr>
        <w:t>.....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  <w:lang w:val="it-CH"/>
        </w:rPr>
        <w:t xml:space="preserve"> / 20 </w:t>
      </w:r>
      <w:r w:rsidRPr="00B07F41">
        <w:rPr>
          <w:rFonts w:asciiTheme="majorBidi" w:hAnsiTheme="majorBidi" w:cstheme="majorBidi"/>
          <w:color w:val="000000" w:themeColor="text1"/>
          <w:sz w:val="24"/>
          <w:szCs w:val="24"/>
          <w:lang w:val="it-CH"/>
        </w:rPr>
        <w:t>.....</w:t>
      </w:r>
    </w:p>
    <w:p w:rsidR="002A4F64" w:rsidRPr="00B07F41" w:rsidRDefault="002A4F64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7C6AD6" w:rsidRPr="00B07F41" w:rsidRDefault="007C6AD6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CAPAIAN PEMBELAJARAN </w:t>
      </w:r>
      <w:proofErr w:type="gramStart"/>
      <w:r w:rsidRPr="00B07F41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FASE</w:t>
      </w:r>
      <w:proofErr w:type="gramEnd"/>
      <w:r w:rsidRPr="00B07F4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F</w:t>
      </w:r>
    </w:p>
    <w:p w:rsidR="007C6AD6" w:rsidRPr="00B07F41" w:rsidRDefault="007C6AD6">
      <w:pPr>
        <w:spacing w:before="60" w:after="60" w:line="240" w:lineRule="auto"/>
        <w:ind w:right="-29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akhir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F,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mengidentifikasi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berbagai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akibat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yang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beragam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berpotensi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menyebabkan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konflik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kekerasan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secara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kritis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kreatif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solutif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kehidupan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di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Penerapan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prinsip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kesetaraan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perbedaan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mewujudkan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harmonis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integratif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menganalisis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perubahan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arus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dampak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perkembangan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teknologi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berupa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ketimpangan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problem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lainya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perilaku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lain-lain.</w:t>
      </w:r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merancang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strategi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melakukan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mengevaluasi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kegiatan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/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proyek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berbasis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kearifan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lokal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menyajikan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aksi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proofErr w:type="gram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pelibatan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diri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kewirausahaan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</w:p>
    <w:p w:rsidR="007C6AD6" w:rsidRPr="00B07F41" w:rsidRDefault="007C6AD6">
      <w:pPr>
        <w:spacing w:before="60" w:after="60" w:line="240" w:lineRule="auto"/>
        <w:ind w:right="70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07F41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Elemen</w:t>
      </w:r>
      <w:proofErr w:type="spellEnd"/>
    </w:p>
    <w:tbl>
      <w:tblPr>
        <w:tblW w:w="145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1906"/>
      </w:tblGrid>
      <w:tr w:rsidR="00CB35F3" w:rsidRPr="00CB35F3" w:rsidTr="004915AD"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AD6" w:rsidRPr="00B07F41" w:rsidRDefault="007C6AD6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AD6" w:rsidRPr="00B07F41" w:rsidRDefault="007C6AD6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</w:p>
        </w:tc>
      </w:tr>
      <w:tr w:rsidR="00CB35F3" w:rsidRPr="00CB35F3" w:rsidTr="004915AD"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AD6" w:rsidRPr="00B07F41" w:rsidRDefault="007C6AD6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1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AD6" w:rsidRPr="00B07F41" w:rsidRDefault="007C6AD6">
            <w:pPr>
              <w:spacing w:before="60" w:after="60" w:line="240" w:lineRule="auto"/>
              <w:ind w:left="102" w:right="178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antarkelompok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prinsip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kesetaraan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terwujud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harmonis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integrasi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digital yang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terus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berubah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ketimpangan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eksistensi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7C6AD6" w:rsidRPr="00CB35F3" w:rsidTr="004915AD"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AD6" w:rsidRPr="00B07F41" w:rsidRDefault="007C6AD6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1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AD6" w:rsidRPr="00B07F41" w:rsidRDefault="007C6AD6">
            <w:pPr>
              <w:spacing w:before="60" w:after="60" w:line="240" w:lineRule="auto"/>
              <w:ind w:left="102" w:right="71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berorientasi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ditengah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penelitiannya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lastRenderedPageBreak/>
              <w:t>mengevaluasi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pemberdayaan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aktor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turut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kewirausahaan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menyajikan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merefleksikan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kolaboratif</w:t>
            </w:r>
            <w:proofErr w:type="spellEnd"/>
            <w:r w:rsidRPr="00B07F41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C6AD6" w:rsidRPr="00B07F41" w:rsidRDefault="007C6AD6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B35F3" w:rsidRPr="00CB35F3" w:rsidTr="00B07F41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aps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aps/>
                <w:color w:val="000000" w:themeColor="text1"/>
                <w:sz w:val="24"/>
                <w:szCs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Maret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April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Mei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2A4F64" w:rsidRPr="00B07F41" w:rsidRDefault="0031655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Juni</w:t>
            </w: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2A4F64" w:rsidRPr="00B07F41" w:rsidRDefault="002A4F64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2A4F64" w:rsidRPr="00B07F41" w:rsidRDefault="002A4F64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2A4F64" w:rsidRPr="00B07F41" w:rsidRDefault="002A4F64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</w:tr>
      <w:tr w:rsidR="00CB35F3" w:rsidRPr="00CB35F3" w:rsidTr="00B07F41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BAB </w:t>
            </w:r>
            <w:r w:rsidR="000E2290"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3</w:t>
            </w: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 : </w:t>
            </w:r>
            <w:r w:rsidR="000E2290"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KONFLIK SOSIAL</w:t>
            </w: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mendeskripsikan konsep konflik sosial dan kekerasan melalui pengamatan di lingkungan sekitar.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mengomunikasikan faktor penyebab konflik sosial setelah melakukan diskusi kelompok.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mengidentifikasi macam-macam konflik sosial secara kontekstual melalui penelusuran kasus di kehidupan sehari-hari.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membedakan konflik sosial dan kekerasan melalui identifikasi ragam kasus.</w:t>
            </w:r>
          </w:p>
          <w:p w:rsidR="00F67BF1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dampak konflik sosial di kehidupan sehari-hari melalui identifikasi ragam kasus.</w:t>
            </w:r>
          </w:p>
        </w:tc>
        <w:tc>
          <w:tcPr>
            <w:tcW w:w="820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upaya pencegahan konflik sosial.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11.3.7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upaya resolusi konflik sosial.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manajemen konflik sosial.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11.3.9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upaya penanganan konflik melalui transformasi konflik sosial.</w:t>
            </w:r>
          </w:p>
          <w:p w:rsidR="00F67BF1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11.3.10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  <w:t>P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eserta didik mampu menjelaskan upaya membangun perdamaian sosial dalam masyarakat.</w:t>
            </w:r>
          </w:p>
        </w:tc>
        <w:tc>
          <w:tcPr>
            <w:tcW w:w="820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3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mengidentifikasi komponen konflik sosial berdasarkan aktivitas pembelajaran.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mengumpulkan informasi mengenai komponen konflik sosial berdasarkan sumber belajar yang digunakan.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teknik pengumpulan data berdasarkan aktivitas pengumpulan data secara berkelompok dengan baik.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mengeksplorasi informasi tentang pengumpulan data berdasarkan berbagai sumber belajar dengan tepat.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menganalisis data dalam penelitian sosial konflik berdasarkan aktivitas pembelajaran.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Peserta didik mampu menyajikan informasi tentang konflik sosial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berdasarkan hasil eksplorasi di berbagai sumber belajar.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menyusun rekomendasi penyelesaian konflik berdasarkan aktivitas pembelajaran kolaboratif secara baik.</w:t>
            </w:r>
          </w:p>
          <w:p w:rsidR="00F67BF1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11.3.18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mengeksplorasi informasi tentang penyelesaian konflik dari berbagai sumber belajar secara tepat.</w:t>
            </w:r>
          </w:p>
        </w:tc>
        <w:tc>
          <w:tcPr>
            <w:tcW w:w="820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B07F41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 xml:space="preserve">BAB </w:t>
            </w:r>
            <w:r w:rsidR="000E2290"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4</w:t>
            </w:r>
            <w:r w:rsidRPr="00B07F41">
              <w:rPr>
                <w:rFonts w:asciiTheme="majorBidi" w:hAnsiTheme="majorBidi" w:cstheme="majorBidi"/>
                <w:b/>
                <w:bCs/>
                <w:cap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 : </w:t>
            </w:r>
            <w:r w:rsidR="000E2290"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MEMBANGUN HARMONI SOSIAL</w:t>
            </w: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konsep harmoni sosial setelah berdiskusi kelompok dengan baik.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upaya membangun integrasi sosial melalui penelusuran berbagai sumber informasi.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konsep inklusi sosial setelah melakukan observasi di lingkungan sekitar.</w:t>
            </w:r>
          </w:p>
          <w:p w:rsidR="00F67BF1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menjelaskan konsep kohesi sosial setelah mengeksplorasi informasi melalui berbagai sumber.</w:t>
            </w:r>
          </w:p>
        </w:tc>
        <w:tc>
          <w:tcPr>
            <w:tcW w:w="820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kampanye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audiensi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="000E2290" w:rsidRPr="00B07F4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public hearing)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berdasarkan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strategi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perawatan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berdiskusi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F67BF1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11.4.8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filantropi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="000E2290" w:rsidRPr="00B07F4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charity</w:t>
            </w:r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mengobservasi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sekitar</w:t>
            </w:r>
            <w:proofErr w:type="spellEnd"/>
            <w:r w:rsidR="000E2290"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45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3</w:t>
            </w:r>
          </w:p>
        </w:tc>
        <w:tc>
          <w:tcPr>
            <w:tcW w:w="4770" w:type="dxa"/>
            <w:shd w:val="clear" w:color="auto" w:fill="auto"/>
          </w:tcPr>
          <w:p w:rsidR="000E2290" w:rsidRPr="00B07F41" w:rsidRDefault="00D008A8" w:rsidP="00B07F41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11.4.9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memilih rancangan aksi membangun harmoni sosial setelah berdiskusi kelompok secara kritis.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11.4.10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menerapkan informasi untuk aksi membangun harmoni sosial dari berbagai sumber belajar secara tepat.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11.4.12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menentukan aksi sosial untuk membangun harmoni sosial setelah melakukan diskusi kelompok secara kritis.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11.4.13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merancang aksi sosial untuk membangun harmoni sosial berdasarkan informasi yang dimiliki secara tepat.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11.4.14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 xml:space="preserve">Peserta didik mampu mengevaluasi aksi membangun harmoni sosial berdasarkan kegiatan kelompok yang </w:t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lastRenderedPageBreak/>
              <w:t>telah dilakukan secara baik.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11.4.15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mengevaluasi pelaksanaan aksi sosial untuk membangun harmoni sosial berdasarkan informasi yang diperoleh dari berbagai sumber belajar secara tepat.</w:t>
            </w:r>
          </w:p>
          <w:p w:rsidR="000E2290" w:rsidRPr="00B07F41" w:rsidRDefault="00D008A8" w:rsidP="00B07F41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11.4.16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mengomunikasikan hasil aksi sosial untuk membangun harmoni sosial melalui penugasan kelompok secara baik.</w:t>
            </w:r>
          </w:p>
          <w:p w:rsidR="00F67BF1" w:rsidRPr="00B07F41" w:rsidRDefault="00D008A8" w:rsidP="00B07F41">
            <w:pPr>
              <w:spacing w:before="60" w:after="60" w:line="240" w:lineRule="auto"/>
              <w:ind w:left="851" w:hanging="851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11.4.17</w:t>
            </w:r>
            <w:r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ab/>
            </w:r>
            <w:r w:rsidR="000E2290" w:rsidRPr="00B07F41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Peserta didik mampu menyajikan hasil kegiatan aksi sosial berdasarkan informasi yang dimiliki dari berbagai sumber belajar secara tepat.</w:t>
            </w:r>
          </w:p>
        </w:tc>
        <w:tc>
          <w:tcPr>
            <w:tcW w:w="820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lastRenderedPageBreak/>
              <w:t>JP</w:t>
            </w: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F67BF1" w:rsidRPr="00B07F41" w:rsidRDefault="00F67BF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CB35F3" w:rsidRPr="00CB35F3" w:rsidTr="00CB35F3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2A4F64" w:rsidRPr="00B07F41" w:rsidRDefault="00316558">
            <w:pPr>
              <w:spacing w:before="60" w:after="60" w:line="240" w:lineRule="auto"/>
              <w:ind w:left="-85" w:right="-85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2A4F64" w:rsidRPr="00B07F41" w:rsidRDefault="002A4F64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</w:tbl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p w:rsidR="002A4F64" w:rsidRPr="00B07F41" w:rsidRDefault="002A4F6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F906EF" w:rsidRPr="00CB35F3" w:rsidTr="002542B3">
        <w:trPr>
          <w:trHeight w:val="564"/>
          <w:jc w:val="center"/>
        </w:trPr>
        <w:tc>
          <w:tcPr>
            <w:tcW w:w="3685" w:type="dxa"/>
          </w:tcPr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  <w:t>M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engetahui,</w:t>
            </w: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Kepala Sekolah</w:t>
            </w:r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008A8" w:rsidRPr="00B07F41" w:rsidRDefault="00D008A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2A4F64" w:rsidRPr="00B07F41" w:rsidRDefault="00316558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     NIP. 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85" w:type="dxa"/>
          </w:tcPr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………………. …………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20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.</w:t>
            </w: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..</w:t>
            </w:r>
            <w:r w:rsidRPr="00B07F4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..</w:t>
            </w: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Guru </w:t>
            </w:r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Mata </w:t>
            </w:r>
            <w:proofErr w:type="spellStart"/>
            <w:r w:rsidRPr="00B07F4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2A4F6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008A8" w:rsidRPr="00B07F41" w:rsidRDefault="00D008A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2A4F64" w:rsidRPr="00B07F41" w:rsidRDefault="00316558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2A4F64" w:rsidRPr="00B07F41" w:rsidRDefault="00316558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07F4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NIP. </w:t>
            </w:r>
            <w:r w:rsidRPr="00B07F4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</w:tr>
    </w:tbl>
    <w:p w:rsidR="00562658" w:rsidRPr="00B07F41" w:rsidRDefault="00562658">
      <w:pPr>
        <w:spacing w:before="60" w:after="6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562658" w:rsidRPr="00B07F41" w:rsidSect="00D26CFE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C9" w:rsidRDefault="008750C9">
      <w:pPr>
        <w:spacing w:after="0" w:line="240" w:lineRule="auto"/>
      </w:pPr>
      <w:r>
        <w:separator/>
      </w:r>
    </w:p>
  </w:endnote>
  <w:endnote w:type="continuationSeparator" w:id="0">
    <w:p w:rsidR="008750C9" w:rsidRDefault="0087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C9" w:rsidRDefault="008750C9">
      <w:pPr>
        <w:spacing w:after="0" w:line="240" w:lineRule="auto"/>
      </w:pPr>
      <w:r>
        <w:separator/>
      </w:r>
    </w:p>
  </w:footnote>
  <w:footnote w:type="continuationSeparator" w:id="0">
    <w:p w:rsidR="008750C9" w:rsidRDefault="00875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7D0"/>
    <w:rsid w:val="00036829"/>
    <w:rsid w:val="00040CF2"/>
    <w:rsid w:val="000433F1"/>
    <w:rsid w:val="00044670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851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96B52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290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68F4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063BD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4F64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5007"/>
    <w:rsid w:val="0030750A"/>
    <w:rsid w:val="00307CCC"/>
    <w:rsid w:val="003104E6"/>
    <w:rsid w:val="00311211"/>
    <w:rsid w:val="00314D03"/>
    <w:rsid w:val="0031506E"/>
    <w:rsid w:val="00315D39"/>
    <w:rsid w:val="00316558"/>
    <w:rsid w:val="00326B57"/>
    <w:rsid w:val="003358BF"/>
    <w:rsid w:val="003445CD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65B6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123A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105C"/>
    <w:rsid w:val="0041470D"/>
    <w:rsid w:val="00415EE9"/>
    <w:rsid w:val="004229BA"/>
    <w:rsid w:val="00424BB2"/>
    <w:rsid w:val="00425A19"/>
    <w:rsid w:val="00430D34"/>
    <w:rsid w:val="00430E29"/>
    <w:rsid w:val="00432045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75A55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0CB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2658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96003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4F0"/>
    <w:rsid w:val="00630DB1"/>
    <w:rsid w:val="00630E79"/>
    <w:rsid w:val="00633E8A"/>
    <w:rsid w:val="00636641"/>
    <w:rsid w:val="00636E99"/>
    <w:rsid w:val="0063721E"/>
    <w:rsid w:val="00637821"/>
    <w:rsid w:val="00641F86"/>
    <w:rsid w:val="00643772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0DC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6AD6"/>
    <w:rsid w:val="007C6CC7"/>
    <w:rsid w:val="007C7AD7"/>
    <w:rsid w:val="007D3703"/>
    <w:rsid w:val="007E0D44"/>
    <w:rsid w:val="007E4C0A"/>
    <w:rsid w:val="007E5630"/>
    <w:rsid w:val="007F0FCC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50C9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4B54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3F2A"/>
    <w:rsid w:val="00A14708"/>
    <w:rsid w:val="00A164A3"/>
    <w:rsid w:val="00A1658A"/>
    <w:rsid w:val="00A16A8A"/>
    <w:rsid w:val="00A21004"/>
    <w:rsid w:val="00A21B55"/>
    <w:rsid w:val="00A23D7E"/>
    <w:rsid w:val="00A24225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3C65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7F41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2B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12A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946"/>
    <w:rsid w:val="00BF3CD0"/>
    <w:rsid w:val="00BF3FAD"/>
    <w:rsid w:val="00BF4EC6"/>
    <w:rsid w:val="00BF52B3"/>
    <w:rsid w:val="00BF7963"/>
    <w:rsid w:val="00BF79B5"/>
    <w:rsid w:val="00C002AD"/>
    <w:rsid w:val="00C02195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175E7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51B"/>
    <w:rsid w:val="00C94774"/>
    <w:rsid w:val="00C949B6"/>
    <w:rsid w:val="00CA09AA"/>
    <w:rsid w:val="00CA2C66"/>
    <w:rsid w:val="00CA3F11"/>
    <w:rsid w:val="00CA4ABA"/>
    <w:rsid w:val="00CA5295"/>
    <w:rsid w:val="00CA5BC8"/>
    <w:rsid w:val="00CB0B8E"/>
    <w:rsid w:val="00CB35F3"/>
    <w:rsid w:val="00CB3ED0"/>
    <w:rsid w:val="00CB51B5"/>
    <w:rsid w:val="00CB6721"/>
    <w:rsid w:val="00CC42D2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08A8"/>
    <w:rsid w:val="00D012A6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499C"/>
    <w:rsid w:val="00D25902"/>
    <w:rsid w:val="00D26A1C"/>
    <w:rsid w:val="00D26CFE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189E"/>
    <w:rsid w:val="00DB44BD"/>
    <w:rsid w:val="00DB5974"/>
    <w:rsid w:val="00DC0147"/>
    <w:rsid w:val="00DC0DA3"/>
    <w:rsid w:val="00DC2302"/>
    <w:rsid w:val="00DC28AC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25CA3"/>
    <w:rsid w:val="00E3095D"/>
    <w:rsid w:val="00E30BB2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4032"/>
    <w:rsid w:val="00F05B4C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A85"/>
    <w:rsid w:val="00F53D01"/>
    <w:rsid w:val="00F636E9"/>
    <w:rsid w:val="00F67BF1"/>
    <w:rsid w:val="00F72808"/>
    <w:rsid w:val="00F8223D"/>
    <w:rsid w:val="00F82E0C"/>
    <w:rsid w:val="00F86BAC"/>
    <w:rsid w:val="00F906EF"/>
    <w:rsid w:val="00F911C1"/>
    <w:rsid w:val="00F974E1"/>
    <w:rsid w:val="00FA0BBC"/>
    <w:rsid w:val="00FA2B24"/>
    <w:rsid w:val="00FA5B82"/>
    <w:rsid w:val="00FB3F7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3BF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2023-01-28T13:39:00Z</dcterms:created>
  <dcterms:modified xsi:type="dcterms:W3CDTF">2024-02-21T08:29:00Z</dcterms:modified>
</cp:coreProperties>
</file>