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CE" w:rsidRPr="002A0049" w:rsidRDefault="008970D3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2A0049">
        <w:rPr>
          <w:rFonts w:asciiTheme="majorBidi" w:hAnsiTheme="majorBidi" w:cstheme="majorBidi"/>
          <w:b/>
          <w:sz w:val="24"/>
          <w:szCs w:val="24"/>
        </w:rPr>
        <w:t>ALUR TUJUAN PEMBELAJARAN</w:t>
      </w:r>
    </w:p>
    <w:p w:rsidR="00B365CE" w:rsidRPr="002A0049" w:rsidRDefault="008970D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A0049">
        <w:rPr>
          <w:rFonts w:asciiTheme="majorBidi" w:hAnsiTheme="majorBidi" w:cstheme="majorBidi"/>
          <w:b/>
          <w:sz w:val="24"/>
          <w:szCs w:val="24"/>
        </w:rPr>
        <w:t>PENDIDIKAN AGAMA ISLAM DAN BUDI PEKERTI</w:t>
      </w:r>
    </w:p>
    <w:p w:rsidR="00B365CE" w:rsidRPr="002A0049" w:rsidRDefault="00B365C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B365CE" w:rsidRPr="002A0049" w:rsidRDefault="008970D3" w:rsidP="002A004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A0049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2A00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0049">
        <w:rPr>
          <w:rFonts w:asciiTheme="majorBidi" w:hAnsiTheme="majorBidi" w:cstheme="majorBidi"/>
          <w:sz w:val="24"/>
          <w:szCs w:val="24"/>
        </w:rPr>
        <w:t>Penyusun</w:t>
      </w:r>
      <w:proofErr w:type="spellEnd"/>
      <w:r w:rsidRPr="002A0049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2A0049">
        <w:rPr>
          <w:rFonts w:asciiTheme="majorBidi" w:hAnsiTheme="majorBidi" w:cstheme="majorBidi"/>
          <w:sz w:val="24"/>
          <w:szCs w:val="24"/>
        </w:rPr>
        <w:t>……………………….</w:t>
      </w:r>
    </w:p>
    <w:p w:rsidR="00B365CE" w:rsidRPr="002A0049" w:rsidRDefault="002A0049" w:rsidP="002A004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8970D3" w:rsidRPr="002A0049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……………………….</w:t>
      </w:r>
    </w:p>
    <w:p w:rsidR="00B365CE" w:rsidRPr="002A0049" w:rsidRDefault="008970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A0049">
        <w:rPr>
          <w:rFonts w:asciiTheme="majorBidi" w:hAnsiTheme="majorBidi" w:cstheme="majorBidi"/>
          <w:sz w:val="24"/>
          <w:szCs w:val="24"/>
        </w:rPr>
        <w:t>Fase</w:t>
      </w:r>
      <w:proofErr w:type="spellEnd"/>
      <w:r w:rsidRPr="002A0049">
        <w:rPr>
          <w:rFonts w:asciiTheme="majorBidi" w:hAnsiTheme="majorBidi" w:cstheme="majorBidi"/>
          <w:sz w:val="24"/>
          <w:szCs w:val="24"/>
        </w:rPr>
        <w:tab/>
      </w:r>
      <w:r w:rsidRPr="002A0049">
        <w:rPr>
          <w:rFonts w:asciiTheme="majorBidi" w:hAnsiTheme="majorBidi" w:cstheme="majorBidi"/>
          <w:sz w:val="24"/>
          <w:szCs w:val="24"/>
        </w:rPr>
        <w:tab/>
      </w:r>
      <w:r w:rsidRPr="002A0049">
        <w:rPr>
          <w:rFonts w:asciiTheme="majorBidi" w:hAnsiTheme="majorBidi" w:cstheme="majorBidi"/>
          <w:sz w:val="24"/>
          <w:szCs w:val="24"/>
        </w:rPr>
        <w:tab/>
        <w:t>: C</w:t>
      </w:r>
    </w:p>
    <w:p w:rsidR="00B365CE" w:rsidRPr="002A0049" w:rsidRDefault="008970D3" w:rsidP="002A004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A004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2A004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A0049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Pr="002A0049">
        <w:rPr>
          <w:rFonts w:asciiTheme="majorBidi" w:hAnsiTheme="majorBidi" w:cstheme="majorBidi"/>
          <w:sz w:val="24"/>
          <w:szCs w:val="24"/>
        </w:rPr>
        <w:tab/>
      </w:r>
      <w:r w:rsidRPr="002A0049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2A0049">
        <w:rPr>
          <w:rFonts w:asciiTheme="majorBidi" w:hAnsiTheme="majorBidi" w:cstheme="majorBidi"/>
          <w:sz w:val="24"/>
          <w:szCs w:val="24"/>
        </w:rPr>
        <w:t>20../20</w:t>
      </w:r>
      <w:proofErr w:type="gramStart"/>
      <w:r w:rsidR="002A0049">
        <w:rPr>
          <w:rFonts w:asciiTheme="majorBidi" w:hAnsiTheme="majorBidi" w:cstheme="majorBidi"/>
          <w:sz w:val="24"/>
          <w:szCs w:val="24"/>
        </w:rPr>
        <w:t>..</w:t>
      </w:r>
      <w:proofErr w:type="gramEnd"/>
    </w:p>
    <w:p w:rsidR="00B365CE" w:rsidRDefault="00B365C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893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6946"/>
      </w:tblGrid>
      <w:tr w:rsidR="002A0049" w:rsidRPr="002A0049" w:rsidTr="008970D3">
        <w:trPr>
          <w:trHeight w:val="454"/>
          <w:tblHeader/>
          <w:jc w:val="center"/>
        </w:trPr>
        <w:tc>
          <w:tcPr>
            <w:tcW w:w="1985" w:type="dxa"/>
            <w:vAlign w:val="center"/>
          </w:tcPr>
          <w:p w:rsidR="002A0049" w:rsidRPr="002A0049" w:rsidRDefault="002A0049" w:rsidP="002A0049">
            <w:pPr>
              <w:spacing w:after="0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2A0049">
              <w:rPr>
                <w:rFonts w:asciiTheme="majorBidi" w:hAnsiTheme="majorBidi" w:cstheme="majorBidi"/>
                <w:b/>
              </w:rPr>
              <w:t>Elemen</w:t>
            </w:r>
            <w:proofErr w:type="spellEnd"/>
          </w:p>
        </w:tc>
        <w:tc>
          <w:tcPr>
            <w:tcW w:w="6946" w:type="dxa"/>
            <w:vAlign w:val="center"/>
          </w:tcPr>
          <w:p w:rsidR="002A0049" w:rsidRPr="002A0049" w:rsidRDefault="002A0049" w:rsidP="002A0049">
            <w:pPr>
              <w:spacing w:after="0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2A0049">
              <w:rPr>
                <w:rFonts w:asciiTheme="majorBidi" w:hAnsiTheme="majorBidi" w:cstheme="majorBidi"/>
                <w:b/>
              </w:rPr>
              <w:t>Capaian</w:t>
            </w:r>
            <w:proofErr w:type="spellEnd"/>
            <w:r w:rsidRPr="002A0049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  <w:b/>
              </w:rPr>
              <w:t>Pembelajaran</w:t>
            </w:r>
            <w:proofErr w:type="spellEnd"/>
          </w:p>
        </w:tc>
      </w:tr>
      <w:tr w:rsidR="002A0049" w:rsidRPr="002A0049" w:rsidTr="008970D3">
        <w:trPr>
          <w:trHeight w:val="20"/>
          <w:jc w:val="center"/>
        </w:trPr>
        <w:tc>
          <w:tcPr>
            <w:tcW w:w="1985" w:type="dxa"/>
            <w:vAlign w:val="center"/>
          </w:tcPr>
          <w:p w:rsidR="002A0049" w:rsidRPr="002A0049" w:rsidRDefault="002A0049" w:rsidP="008970D3">
            <w:pPr>
              <w:jc w:val="center"/>
              <w:rPr>
                <w:rFonts w:asciiTheme="majorBidi" w:hAnsiTheme="majorBidi" w:cstheme="majorBidi"/>
              </w:rPr>
            </w:pPr>
            <w:r w:rsidRPr="002A0049">
              <w:rPr>
                <w:rFonts w:asciiTheme="majorBidi" w:hAnsiTheme="majorBidi" w:cstheme="majorBidi"/>
              </w:rPr>
              <w:t xml:space="preserve">Al-Qur’an </w:t>
            </w:r>
            <w:proofErr w:type="spellStart"/>
            <w:r w:rsidRPr="002A0049">
              <w:rPr>
                <w:rFonts w:asciiTheme="majorBidi" w:hAnsiTheme="majorBidi" w:cstheme="majorBidi"/>
              </w:rPr>
              <w:t>Hadis</w:t>
            </w:r>
            <w:proofErr w:type="spellEnd"/>
          </w:p>
        </w:tc>
        <w:tc>
          <w:tcPr>
            <w:tcW w:w="6946" w:type="dxa"/>
          </w:tcPr>
          <w:p w:rsidR="002A0049" w:rsidRPr="002A0049" w:rsidRDefault="002A0049" w:rsidP="002A0049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mampu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membaca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A0049">
              <w:rPr>
                <w:rFonts w:asciiTheme="majorBidi" w:hAnsiTheme="majorBidi" w:cstheme="majorBidi"/>
              </w:rPr>
              <w:t>menghafal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A0049">
              <w:rPr>
                <w:rFonts w:asciiTheme="majorBidi" w:hAnsiTheme="majorBidi" w:cstheme="majorBidi"/>
              </w:rPr>
              <w:t>menulis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pesan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pokok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surah- surah </w:t>
            </w:r>
            <w:proofErr w:type="spellStart"/>
            <w:r w:rsidRPr="002A0049">
              <w:rPr>
                <w:rFonts w:asciiTheme="majorBidi" w:hAnsiTheme="majorBidi" w:cstheme="majorBidi"/>
              </w:rPr>
              <w:t>pendek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ayat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Al-Qur'an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tentang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keragaman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dengan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baik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benar</w:t>
            </w:r>
            <w:proofErr w:type="spellEnd"/>
            <w:r w:rsidRPr="002A0049">
              <w:rPr>
                <w:rFonts w:asciiTheme="majorBidi" w:hAnsiTheme="majorBidi" w:cstheme="majorBidi"/>
              </w:rPr>
              <w:t>.</w:t>
            </w:r>
          </w:p>
        </w:tc>
      </w:tr>
      <w:tr w:rsidR="002A0049" w:rsidRPr="002A0049" w:rsidTr="008970D3">
        <w:trPr>
          <w:trHeight w:val="20"/>
          <w:jc w:val="center"/>
        </w:trPr>
        <w:tc>
          <w:tcPr>
            <w:tcW w:w="1985" w:type="dxa"/>
            <w:vAlign w:val="center"/>
          </w:tcPr>
          <w:p w:rsidR="002A0049" w:rsidRPr="002A0049" w:rsidRDefault="002A0049" w:rsidP="008970D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Akidah</w:t>
            </w:r>
            <w:proofErr w:type="spellEnd"/>
          </w:p>
        </w:tc>
        <w:tc>
          <w:tcPr>
            <w:tcW w:w="6946" w:type="dxa"/>
          </w:tcPr>
          <w:p w:rsidR="002A0049" w:rsidRPr="002A0049" w:rsidRDefault="002A0049" w:rsidP="002A0049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dapat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mengenal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Allah, </w:t>
            </w:r>
            <w:proofErr w:type="spellStart"/>
            <w:r w:rsidRPr="002A0049">
              <w:rPr>
                <w:rFonts w:asciiTheme="majorBidi" w:hAnsiTheme="majorBidi" w:cstheme="majorBidi"/>
              </w:rPr>
              <w:t>melalui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asmaul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husna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keniscayaan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peristiwa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hari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akhir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qada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qadar</w:t>
            </w:r>
            <w:proofErr w:type="spellEnd"/>
          </w:p>
        </w:tc>
      </w:tr>
      <w:tr w:rsidR="002A0049" w:rsidRPr="002A0049" w:rsidTr="008970D3">
        <w:trPr>
          <w:trHeight w:val="20"/>
          <w:jc w:val="center"/>
        </w:trPr>
        <w:tc>
          <w:tcPr>
            <w:tcW w:w="1985" w:type="dxa"/>
            <w:vAlign w:val="center"/>
          </w:tcPr>
          <w:p w:rsidR="002A0049" w:rsidRPr="002A0049" w:rsidRDefault="002A0049" w:rsidP="008970D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Akhlak</w:t>
            </w:r>
            <w:proofErr w:type="spellEnd"/>
          </w:p>
        </w:tc>
        <w:tc>
          <w:tcPr>
            <w:tcW w:w="6946" w:type="dxa"/>
          </w:tcPr>
          <w:p w:rsidR="002A0049" w:rsidRPr="002A0049" w:rsidRDefault="002A0049" w:rsidP="002A0049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mengenal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dialog </w:t>
            </w:r>
            <w:proofErr w:type="spellStart"/>
            <w:r w:rsidRPr="002A0049">
              <w:rPr>
                <w:rFonts w:asciiTheme="majorBidi" w:hAnsiTheme="majorBidi" w:cstheme="majorBidi"/>
              </w:rPr>
              <w:t>antar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agama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kepercayaan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menyadari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peluang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tantangan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2A0049">
              <w:rPr>
                <w:rFonts w:asciiTheme="majorBidi" w:hAnsiTheme="majorBidi" w:cstheme="majorBidi"/>
              </w:rPr>
              <w:t>bisa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muncul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dari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keragaman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di Indonesia. </w:t>
            </w: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arti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ideologi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secara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sederhana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pandangan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hidup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pentingnya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menjaga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kesatuan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atas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keberagaman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juga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pentingnya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introspeksi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diri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untuk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menjadi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pribadi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2A0049">
              <w:rPr>
                <w:rFonts w:asciiTheme="majorBidi" w:hAnsiTheme="majorBidi" w:cstheme="majorBidi"/>
              </w:rPr>
              <w:t>lebih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baik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setiap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harinya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pentingnya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pendapat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2A0049">
              <w:rPr>
                <w:rFonts w:asciiTheme="majorBidi" w:hAnsiTheme="majorBidi" w:cstheme="majorBidi"/>
              </w:rPr>
              <w:t>logis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A0049">
              <w:rPr>
                <w:rFonts w:asciiTheme="majorBidi" w:hAnsiTheme="majorBidi" w:cstheme="majorBidi"/>
              </w:rPr>
              <w:t>menerima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perbedaan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pendapat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menemukan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titik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kesamaan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2A0049">
              <w:rPr>
                <w:rFonts w:asciiTheme="majorBidi" w:hAnsiTheme="majorBidi" w:cstheme="majorBidi"/>
              </w:rPr>
              <w:t>kalimah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sawa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') </w:t>
            </w:r>
            <w:proofErr w:type="spellStart"/>
            <w:r w:rsidRPr="002A0049">
              <w:rPr>
                <w:rFonts w:asciiTheme="majorBidi" w:hAnsiTheme="majorBidi" w:cstheme="majorBidi"/>
              </w:rPr>
              <w:t>untuk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mewujudkan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persatuan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kerukunan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. </w:t>
            </w: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peran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manusia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sebagai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khalifah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Allah di </w:t>
            </w:r>
            <w:proofErr w:type="spellStart"/>
            <w:r w:rsidRPr="002A0049">
              <w:rPr>
                <w:rFonts w:asciiTheme="majorBidi" w:hAnsiTheme="majorBidi" w:cstheme="majorBidi"/>
              </w:rPr>
              <w:t>bumi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untuk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menebarkan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kasih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sayang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tidak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membuat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kerusakan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di </w:t>
            </w:r>
            <w:proofErr w:type="spellStart"/>
            <w:r w:rsidRPr="002A0049">
              <w:rPr>
                <w:rFonts w:asciiTheme="majorBidi" w:hAnsiTheme="majorBidi" w:cstheme="majorBidi"/>
              </w:rPr>
              <w:t>muka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bumi</w:t>
            </w:r>
            <w:proofErr w:type="spellEnd"/>
          </w:p>
        </w:tc>
      </w:tr>
      <w:tr w:rsidR="002A0049" w:rsidRPr="002A0049" w:rsidTr="008970D3">
        <w:trPr>
          <w:trHeight w:val="20"/>
          <w:jc w:val="center"/>
        </w:trPr>
        <w:tc>
          <w:tcPr>
            <w:tcW w:w="1985" w:type="dxa"/>
            <w:vAlign w:val="center"/>
          </w:tcPr>
          <w:p w:rsidR="002A0049" w:rsidRPr="002A0049" w:rsidRDefault="002A0049" w:rsidP="008970D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Fikih</w:t>
            </w:r>
            <w:proofErr w:type="spellEnd"/>
          </w:p>
        </w:tc>
        <w:tc>
          <w:tcPr>
            <w:tcW w:w="6946" w:type="dxa"/>
          </w:tcPr>
          <w:p w:rsidR="002A0049" w:rsidRPr="002A0049" w:rsidRDefault="002A0049" w:rsidP="002A0049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mampu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zakat, </w:t>
            </w:r>
            <w:proofErr w:type="spellStart"/>
            <w:r w:rsidRPr="002A0049">
              <w:rPr>
                <w:rFonts w:asciiTheme="majorBidi" w:hAnsiTheme="majorBidi" w:cstheme="majorBidi"/>
              </w:rPr>
              <w:t>infak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A0049">
              <w:rPr>
                <w:rFonts w:asciiTheme="majorBidi" w:hAnsiTheme="majorBidi" w:cstheme="majorBidi"/>
              </w:rPr>
              <w:t>sedekah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hadiah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2A0049">
              <w:rPr>
                <w:rFonts w:asciiTheme="majorBidi" w:hAnsiTheme="majorBidi" w:cstheme="majorBidi"/>
              </w:rPr>
              <w:t>memahami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ketentuan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haji, halal </w:t>
            </w:r>
            <w:proofErr w:type="spellStart"/>
            <w:r w:rsidRPr="002A0049">
              <w:rPr>
                <w:rFonts w:asciiTheme="majorBidi" w:hAnsiTheme="majorBidi" w:cstheme="majorBidi"/>
              </w:rPr>
              <w:t>dan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haram </w:t>
            </w:r>
            <w:proofErr w:type="spellStart"/>
            <w:r w:rsidRPr="002A0049">
              <w:rPr>
                <w:rFonts w:asciiTheme="majorBidi" w:hAnsiTheme="majorBidi" w:cstheme="majorBidi"/>
              </w:rPr>
              <w:t>serta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mempraktikkan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puasa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sunnah</w:t>
            </w:r>
            <w:proofErr w:type="spellEnd"/>
          </w:p>
        </w:tc>
      </w:tr>
      <w:tr w:rsidR="002A0049" w:rsidRPr="002A0049" w:rsidTr="008970D3">
        <w:trPr>
          <w:trHeight w:val="20"/>
          <w:jc w:val="center"/>
        </w:trPr>
        <w:tc>
          <w:tcPr>
            <w:tcW w:w="1985" w:type="dxa"/>
            <w:vAlign w:val="center"/>
          </w:tcPr>
          <w:p w:rsidR="002A0049" w:rsidRPr="002A0049" w:rsidRDefault="002A0049" w:rsidP="008970D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Sejarah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Peradaban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Islam</w:t>
            </w:r>
          </w:p>
        </w:tc>
        <w:tc>
          <w:tcPr>
            <w:tcW w:w="6946" w:type="dxa"/>
          </w:tcPr>
          <w:p w:rsidR="002A0049" w:rsidRPr="002A0049" w:rsidRDefault="002A0049" w:rsidP="002A0049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Peserta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didik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menghayati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ibrah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dari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kisah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Nabi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r w:rsidRPr="002A0049">
              <w:rPr>
                <w:rFonts w:asciiTheme="majorBidi" w:hAnsiTheme="majorBidi" w:cstheme="majorBidi"/>
              </w:rPr>
              <w:t xml:space="preserve">Muhammad saw, di </w:t>
            </w:r>
            <w:proofErr w:type="spellStart"/>
            <w:r w:rsidRPr="002A0049">
              <w:rPr>
                <w:rFonts w:asciiTheme="majorBidi" w:hAnsiTheme="majorBidi" w:cstheme="majorBidi"/>
              </w:rPr>
              <w:t>masa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separuh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akhir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kerasulannya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serta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kisah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al-</w:t>
            </w:r>
            <w:proofErr w:type="spellStart"/>
            <w:r w:rsidRPr="002A0049">
              <w:rPr>
                <w:rFonts w:asciiTheme="majorBidi" w:hAnsiTheme="majorBidi" w:cstheme="majorBidi"/>
              </w:rPr>
              <w:t>khulafa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al-</w:t>
            </w:r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rasyidin</w:t>
            </w:r>
            <w:proofErr w:type="spellEnd"/>
            <w:r w:rsidRPr="002A0049">
              <w:rPr>
                <w:rFonts w:asciiTheme="majorBidi" w:hAnsiTheme="majorBidi" w:cstheme="majorBidi"/>
              </w:rPr>
              <w:t>.</w:t>
            </w:r>
          </w:p>
        </w:tc>
      </w:tr>
    </w:tbl>
    <w:p w:rsidR="002A0049" w:rsidRPr="002A0049" w:rsidRDefault="002A004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"/>
        <w:tblW w:w="8900" w:type="dxa"/>
        <w:jc w:val="center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11"/>
        <w:gridCol w:w="3061"/>
        <w:gridCol w:w="3061"/>
      </w:tblGrid>
      <w:tr w:rsidR="008970D3" w:rsidRPr="008970D3" w:rsidTr="008970D3">
        <w:trPr>
          <w:trHeight w:val="397"/>
          <w:tblHeader/>
          <w:jc w:val="center"/>
        </w:trPr>
        <w:tc>
          <w:tcPr>
            <w:tcW w:w="567" w:type="dxa"/>
            <w:vAlign w:val="center"/>
          </w:tcPr>
          <w:p w:rsidR="008970D3" w:rsidRPr="008970D3" w:rsidRDefault="008970D3" w:rsidP="008970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>No</w:t>
            </w:r>
          </w:p>
        </w:tc>
        <w:tc>
          <w:tcPr>
            <w:tcW w:w="2211" w:type="dxa"/>
            <w:vAlign w:val="center"/>
          </w:tcPr>
          <w:p w:rsidR="008970D3" w:rsidRPr="008970D3" w:rsidRDefault="008970D3" w:rsidP="008970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Elemen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CP</w:t>
            </w:r>
          </w:p>
        </w:tc>
        <w:tc>
          <w:tcPr>
            <w:tcW w:w="3061" w:type="dxa"/>
            <w:vAlign w:val="center"/>
          </w:tcPr>
          <w:p w:rsidR="008970D3" w:rsidRPr="008970D3" w:rsidRDefault="008970D3" w:rsidP="008970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>Tujuan</w:t>
            </w:r>
            <w:proofErr w:type="spellEnd"/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061" w:type="dxa"/>
            <w:vAlign w:val="center"/>
          </w:tcPr>
          <w:p w:rsidR="008970D3" w:rsidRPr="008970D3" w:rsidRDefault="008970D3" w:rsidP="008970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>Alur</w:t>
            </w:r>
            <w:proofErr w:type="spellEnd"/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>Tujuan</w:t>
            </w:r>
            <w:proofErr w:type="spellEnd"/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970D3" w:rsidRPr="008970D3" w:rsidTr="008970D3">
        <w:trPr>
          <w:trHeight w:val="20"/>
          <w:jc w:val="center"/>
        </w:trPr>
        <w:tc>
          <w:tcPr>
            <w:tcW w:w="567" w:type="dxa"/>
          </w:tcPr>
          <w:p w:rsidR="008970D3" w:rsidRPr="008970D3" w:rsidRDefault="008970D3" w:rsidP="00DF7F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8970D3" w:rsidRPr="002A0049" w:rsidRDefault="008970D3" w:rsidP="008970D3">
            <w:pPr>
              <w:rPr>
                <w:rFonts w:asciiTheme="majorBidi" w:hAnsiTheme="majorBidi" w:cstheme="majorBidi"/>
              </w:rPr>
            </w:pPr>
            <w:r w:rsidRPr="002A0049">
              <w:rPr>
                <w:rFonts w:asciiTheme="majorBidi" w:hAnsiTheme="majorBidi" w:cstheme="majorBidi"/>
              </w:rPr>
              <w:t xml:space="preserve">Al-Qur’an </w:t>
            </w:r>
            <w:proofErr w:type="spellStart"/>
            <w:r w:rsidRPr="002A0049">
              <w:rPr>
                <w:rFonts w:asciiTheme="majorBidi" w:hAnsiTheme="majorBidi" w:cstheme="majorBidi"/>
              </w:rPr>
              <w:t>Hadis</w:t>
            </w:r>
            <w:proofErr w:type="spellEnd"/>
          </w:p>
        </w:tc>
        <w:tc>
          <w:tcPr>
            <w:tcW w:w="3061" w:type="dxa"/>
          </w:tcPr>
          <w:p w:rsidR="008970D3" w:rsidRPr="008970D3" w:rsidRDefault="008970D3" w:rsidP="002A004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Q.S.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Ma'un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, Q.S. Ad-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Duha</w:t>
            </w:r>
            <w:proofErr w:type="spellEnd"/>
          </w:p>
          <w:p w:rsidR="008970D3" w:rsidRPr="008970D3" w:rsidRDefault="008970D3" w:rsidP="002A004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Q.S.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Hujurat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/49:13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keragaman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Q.S.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A'la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/87:1-19</w:t>
            </w:r>
          </w:p>
          <w:p w:rsidR="008970D3" w:rsidRPr="008970D3" w:rsidRDefault="008970D3" w:rsidP="002A0049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1" w:type="dxa"/>
          </w:tcPr>
          <w:p w:rsidR="008970D3" w:rsidRPr="008970D3" w:rsidRDefault="008970D3" w:rsidP="002A004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Q.S.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Ma'un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, Q.S. Ad-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Duha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970D3" w:rsidRPr="008970D3" w:rsidRDefault="008970D3" w:rsidP="002A004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Q.S.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Hujurat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/49:13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keragaman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Q.S.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A'la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/87:1-19</w:t>
            </w:r>
          </w:p>
        </w:tc>
      </w:tr>
      <w:tr w:rsidR="008970D3" w:rsidRPr="008970D3" w:rsidTr="008970D3">
        <w:trPr>
          <w:trHeight w:val="20"/>
          <w:jc w:val="center"/>
        </w:trPr>
        <w:tc>
          <w:tcPr>
            <w:tcW w:w="567" w:type="dxa"/>
          </w:tcPr>
          <w:p w:rsidR="008970D3" w:rsidRPr="008970D3" w:rsidRDefault="008970D3" w:rsidP="00DF7F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8970D3" w:rsidRPr="002A0049" w:rsidRDefault="008970D3" w:rsidP="008970D3">
            <w:pPr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Akidah</w:t>
            </w:r>
            <w:proofErr w:type="spellEnd"/>
          </w:p>
        </w:tc>
        <w:tc>
          <w:tcPr>
            <w:tcW w:w="3061" w:type="dxa"/>
          </w:tcPr>
          <w:p w:rsidR="008970D3" w:rsidRPr="008970D3" w:rsidRDefault="008970D3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asmaul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husna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Al-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Qawiyyu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Qayyum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Muhyi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Mumit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Ba'is,al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Gaffar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Afuw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r w:rsidRPr="008970D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Wahid,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As-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Samad</w:t>
            </w:r>
            <w:proofErr w:type="spellEnd"/>
          </w:p>
          <w:p w:rsidR="008970D3" w:rsidRPr="008970D3" w:rsidRDefault="008970D3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Iman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hari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akhir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qada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'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qadar</w:t>
            </w:r>
            <w:proofErr w:type="spellEnd"/>
          </w:p>
        </w:tc>
        <w:tc>
          <w:tcPr>
            <w:tcW w:w="3061" w:type="dxa"/>
          </w:tcPr>
          <w:p w:rsidR="008970D3" w:rsidRPr="008970D3" w:rsidRDefault="008970D3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Asmaulhusna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Qawiyyu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Qayyum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Muhyi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970D3">
              <w:rPr>
                <w:rFonts w:asciiTheme="majorBidi" w:hAnsiTheme="majorBidi" w:cstheme="majorBidi"/>
                <w:sz w:val="24"/>
                <w:szCs w:val="24"/>
              </w:rPr>
              <w:t>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Mumit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Ba'is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Gaffar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, al-'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Afuw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r w:rsidRPr="008970D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Wahid,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As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Samad</w:t>
            </w:r>
            <w:proofErr w:type="spellEnd"/>
          </w:p>
          <w:p w:rsidR="008970D3" w:rsidRPr="008970D3" w:rsidRDefault="008970D3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Imankepada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hari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akhirqada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'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qadar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135461" w:rsidRPr="008970D3" w:rsidTr="008970D3">
        <w:trPr>
          <w:trHeight w:val="20"/>
          <w:jc w:val="center"/>
        </w:trPr>
        <w:tc>
          <w:tcPr>
            <w:tcW w:w="567" w:type="dxa"/>
          </w:tcPr>
          <w:p w:rsidR="00135461" w:rsidRPr="008970D3" w:rsidRDefault="00135461" w:rsidP="00DF7F75">
            <w:pPr>
              <w:ind w:left="166" w:hanging="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70D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2211" w:type="dxa"/>
          </w:tcPr>
          <w:p w:rsidR="00135461" w:rsidRPr="002A0049" w:rsidRDefault="00135461" w:rsidP="008970D3">
            <w:pPr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Akhlak</w:t>
            </w:r>
            <w:proofErr w:type="spellEnd"/>
          </w:p>
        </w:tc>
        <w:tc>
          <w:tcPr>
            <w:tcW w:w="3061" w:type="dxa"/>
          </w:tcPr>
          <w:p w:rsidR="00135461" w:rsidRDefault="00135461" w:rsidP="001354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pentingnya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introspeksi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maaf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penyesalan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135461" w:rsidRPr="008970D3" w:rsidRDefault="00135461" w:rsidP="001354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peran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menjaga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3061" w:type="dxa"/>
          </w:tcPr>
          <w:p w:rsidR="00135461" w:rsidRDefault="00135461" w:rsidP="001354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pentingnya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introspeksi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diri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maaf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penyesalan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135461" w:rsidRPr="008970D3" w:rsidRDefault="00135461" w:rsidP="0013546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peran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menjaga</w:t>
            </w:r>
            <w:proofErr w:type="spellEnd"/>
            <w:r w:rsidRPr="001354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35461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</w:p>
        </w:tc>
      </w:tr>
      <w:tr w:rsidR="00135461" w:rsidRPr="008970D3" w:rsidTr="008970D3">
        <w:trPr>
          <w:trHeight w:val="20"/>
          <w:jc w:val="center"/>
        </w:trPr>
        <w:tc>
          <w:tcPr>
            <w:tcW w:w="567" w:type="dxa"/>
          </w:tcPr>
          <w:p w:rsidR="00135461" w:rsidRPr="008970D3" w:rsidRDefault="00135461" w:rsidP="008970D3">
            <w:pPr>
              <w:ind w:left="166" w:hanging="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:rsidR="00135461" w:rsidRPr="002A0049" w:rsidRDefault="00135461" w:rsidP="008970D3">
            <w:pPr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Fikih</w:t>
            </w:r>
            <w:proofErr w:type="spellEnd"/>
          </w:p>
        </w:tc>
        <w:tc>
          <w:tcPr>
            <w:tcW w:w="3061" w:type="dxa"/>
          </w:tcPr>
          <w:p w:rsidR="00135461" w:rsidRPr="008970D3" w:rsidRDefault="00135461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zakat,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infak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sedekah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hadiah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35461" w:rsidRPr="008970D3" w:rsidRDefault="00135461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ketentuan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haji, halal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haram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puasa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sunnah</w:t>
            </w:r>
            <w:proofErr w:type="spellEnd"/>
          </w:p>
        </w:tc>
        <w:tc>
          <w:tcPr>
            <w:tcW w:w="3061" w:type="dxa"/>
          </w:tcPr>
          <w:p w:rsidR="00135461" w:rsidRPr="008970D3" w:rsidRDefault="00135461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zakat,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infak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sedekah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hadiah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135461" w:rsidRPr="008970D3" w:rsidRDefault="00135461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ketentuan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haji, halal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haram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puasa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sunnah</w:t>
            </w:r>
            <w:proofErr w:type="spellEnd"/>
          </w:p>
          <w:p w:rsidR="00135461" w:rsidRPr="008970D3" w:rsidRDefault="00135461" w:rsidP="008970D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5461" w:rsidRPr="008970D3" w:rsidTr="008970D3">
        <w:trPr>
          <w:trHeight w:val="20"/>
          <w:jc w:val="center"/>
        </w:trPr>
        <w:tc>
          <w:tcPr>
            <w:tcW w:w="567" w:type="dxa"/>
          </w:tcPr>
          <w:p w:rsidR="00135461" w:rsidRPr="008970D3" w:rsidRDefault="00135461">
            <w:pPr>
              <w:ind w:left="308" w:hanging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:rsidR="00135461" w:rsidRPr="002A0049" w:rsidRDefault="00135461" w:rsidP="008970D3">
            <w:pPr>
              <w:rPr>
                <w:rFonts w:asciiTheme="majorBidi" w:hAnsiTheme="majorBidi" w:cstheme="majorBidi"/>
              </w:rPr>
            </w:pPr>
            <w:proofErr w:type="spellStart"/>
            <w:r w:rsidRPr="002A0049">
              <w:rPr>
                <w:rFonts w:asciiTheme="majorBidi" w:hAnsiTheme="majorBidi" w:cstheme="majorBidi"/>
              </w:rPr>
              <w:t>Sejarah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2A0049">
              <w:rPr>
                <w:rFonts w:asciiTheme="majorBidi" w:hAnsiTheme="majorBidi" w:cstheme="majorBidi"/>
              </w:rPr>
              <w:t>Peradaban</w:t>
            </w:r>
            <w:proofErr w:type="spellEnd"/>
            <w:r w:rsidRPr="002A0049">
              <w:rPr>
                <w:rFonts w:asciiTheme="majorBidi" w:hAnsiTheme="majorBidi" w:cstheme="majorBidi"/>
              </w:rPr>
              <w:t xml:space="preserve"> Islam</w:t>
            </w:r>
          </w:p>
        </w:tc>
        <w:tc>
          <w:tcPr>
            <w:tcW w:w="3061" w:type="dxa"/>
          </w:tcPr>
          <w:p w:rsidR="00135461" w:rsidRPr="008970D3" w:rsidRDefault="00135461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ibrah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kisah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Nabi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Muhammad saw. di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masa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separuh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akhir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kerasulannya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kisah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al-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khulafa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räsyidin</w:t>
            </w:r>
            <w:proofErr w:type="spellEnd"/>
          </w:p>
        </w:tc>
        <w:tc>
          <w:tcPr>
            <w:tcW w:w="3061" w:type="dxa"/>
          </w:tcPr>
          <w:p w:rsidR="00135461" w:rsidRPr="008970D3" w:rsidRDefault="00135461" w:rsidP="008970D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ibrah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kisah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Nabi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Muhammad saw. Di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masa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separuh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akhir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kerasulannya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kisah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khulafa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 xml:space="preserve"> al-</w:t>
            </w:r>
            <w:proofErr w:type="spellStart"/>
            <w:r w:rsidRPr="008970D3">
              <w:rPr>
                <w:rFonts w:asciiTheme="majorBidi" w:hAnsiTheme="majorBidi" w:cstheme="majorBidi"/>
                <w:sz w:val="24"/>
                <w:szCs w:val="24"/>
              </w:rPr>
              <w:t>rāsyidin</w:t>
            </w:r>
            <w:proofErr w:type="spellEnd"/>
            <w:r w:rsidRPr="008970D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2A0049" w:rsidRPr="002A0049" w:rsidRDefault="002A004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PlainTabl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2A0049" w:rsidTr="00897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:rsidR="002A0049" w:rsidRDefault="002A0049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Mengetahui</w:t>
            </w:r>
            <w:proofErr w:type="spellEnd"/>
          </w:p>
          <w:p w:rsidR="002A0049" w:rsidRDefault="002A0049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Sekolah...............</w:t>
            </w: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.....</w:t>
            </w:r>
          </w:p>
          <w:p w:rsidR="002A0049" w:rsidRDefault="002A0049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2A0049" w:rsidRDefault="002A0049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2A0049" w:rsidRDefault="002A0049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2A0049" w:rsidRDefault="002A0049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  <w:p w:rsidR="002A0049" w:rsidRDefault="002A0049">
            <w:pPr>
              <w:jc w:val="center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  <w:t>…………………………………….</w:t>
            </w:r>
          </w:p>
          <w:p w:rsidR="002A0049" w:rsidRDefault="002A0049">
            <w:pPr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NIP.,,,,,,,,,,,,,,,,,,,,,,,,,,,,,,,,,,,,..</w:t>
            </w:r>
          </w:p>
          <w:p w:rsidR="002A0049" w:rsidRDefault="002A0049">
            <w:pPr>
              <w:spacing w:line="254" w:lineRule="auto"/>
              <w:jc w:val="center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4876" w:type="dxa"/>
          </w:tcPr>
          <w:p w:rsidR="002A0049" w:rsidRDefault="002A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......................</w:t>
            </w: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, .. </w:t>
            </w: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..............</w:t>
            </w:r>
          </w:p>
          <w:p w:rsidR="002A0049" w:rsidRDefault="002A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Guru Mata </w:t>
            </w:r>
            <w:proofErr w:type="spellStart"/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Pelajaran</w:t>
            </w:r>
            <w:proofErr w:type="spellEnd"/>
          </w:p>
          <w:p w:rsidR="002A0049" w:rsidRDefault="002A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2A0049" w:rsidRDefault="002A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2A0049" w:rsidRDefault="002A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2A0049" w:rsidRDefault="002A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  <w:p w:rsidR="002A0049" w:rsidRDefault="002A00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eastAsia="Cambria" w:hAnsiTheme="majorBidi" w:cstheme="majorBidi"/>
                <w:color w:val="000000" w:themeColor="text1"/>
                <w:sz w:val="24"/>
                <w:szCs w:val="24"/>
                <w:u w:val="single"/>
                <w:lang w:val="en-ID"/>
              </w:rPr>
              <w:t>…………………………………….</w:t>
            </w:r>
          </w:p>
          <w:p w:rsidR="002A0049" w:rsidRDefault="002A0049">
            <w:pPr>
              <w:spacing w:line="25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ajorBidi" w:eastAsia="Cambria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NIP.,,,,,,,,,,,,,,,,,,,,,,,,,,,,,,,,,,,,..</w:t>
            </w:r>
          </w:p>
        </w:tc>
      </w:tr>
    </w:tbl>
    <w:p w:rsidR="00B365CE" w:rsidRPr="002A0049" w:rsidRDefault="00B365CE" w:rsidP="008970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B365CE" w:rsidRPr="002A0049" w:rsidSect="002A0049">
      <w:pgSz w:w="11907" w:h="16839" w:code="9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D5A"/>
    <w:multiLevelType w:val="hybridMultilevel"/>
    <w:tmpl w:val="38E4DBAC"/>
    <w:lvl w:ilvl="0" w:tplc="A3047C6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11E78"/>
    <w:multiLevelType w:val="hybridMultilevel"/>
    <w:tmpl w:val="413ACCD4"/>
    <w:lvl w:ilvl="0" w:tplc="A3047C6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D3119"/>
    <w:multiLevelType w:val="hybridMultilevel"/>
    <w:tmpl w:val="80282100"/>
    <w:lvl w:ilvl="0" w:tplc="A3047C6A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C51B50"/>
    <w:multiLevelType w:val="hybridMultilevel"/>
    <w:tmpl w:val="5EB823E6"/>
    <w:lvl w:ilvl="0" w:tplc="A3047C6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423C7"/>
    <w:multiLevelType w:val="hybridMultilevel"/>
    <w:tmpl w:val="73C6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365CE"/>
    <w:rsid w:val="00135461"/>
    <w:rsid w:val="002A0049"/>
    <w:rsid w:val="008970D3"/>
    <w:rsid w:val="009E0C8C"/>
    <w:rsid w:val="00B365CE"/>
    <w:rsid w:val="00D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PlainTable1">
    <w:name w:val="Plain Table 1"/>
    <w:basedOn w:val="TableNormal"/>
    <w:uiPriority w:val="41"/>
    <w:rsid w:val="002A0049"/>
    <w:pPr>
      <w:spacing w:after="0" w:line="240" w:lineRule="auto"/>
    </w:pPr>
    <w:rPr>
      <w:rFonts w:asciiTheme="minorHAnsi" w:eastAsiaTheme="minorHAnsi" w:hAnsiTheme="minorHAnsi" w:cstheme="minorBidi"/>
      <w:lang w:val="id-ID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A0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PlainTable1">
    <w:name w:val="Plain Table 1"/>
    <w:basedOn w:val="TableNormal"/>
    <w:uiPriority w:val="41"/>
    <w:rsid w:val="002A0049"/>
    <w:pPr>
      <w:spacing w:after="0" w:line="240" w:lineRule="auto"/>
    </w:pPr>
    <w:rPr>
      <w:rFonts w:asciiTheme="minorHAnsi" w:eastAsiaTheme="minorHAnsi" w:hAnsiTheme="minorHAnsi" w:cstheme="minorBidi"/>
      <w:lang w:val="id-ID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2A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2025-01-30T09:35:00Z</dcterms:created>
  <dcterms:modified xsi:type="dcterms:W3CDTF">2025-01-31T01:27:00Z</dcterms:modified>
</cp:coreProperties>
</file>