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3A" w:rsidRDefault="00E6493A" w:rsidP="00E6493A">
      <w:pPr>
        <w:jc w:val="center"/>
      </w:pPr>
      <w:r>
        <w:rPr>
          <w:rFonts w:ascii="Times New Roman" w:hAnsi="Times New Roman" w:cs="Times New Roman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493A" w:rsidRDefault="00E6493A" w:rsidP="00E6493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9965C294-828C-483D-A2CB-DBA55EFA0DF4}\{6FAE1363-C702-4D26-B1DE-6F0DE904CFB3}\ResourceMap\{F8358769-FE53-483C-ABC6-22154DF900E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9965C294-828C-483D-A2CB-DBA55EFA0DF4}\{6FAE1363-C702-4D26-B1DE-6F0DE904CFB3}\ResourceMap\{F8358769-FE53-483C-ABC6-22154DF900EE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93A" w:rsidRDefault="00E6493A" w:rsidP="00E6493A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E6493A" w:rsidTr="00E6493A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E6493A" w:rsidRDefault="00E6493A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E6493A" w:rsidRDefault="00E6493A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E6493A" w:rsidTr="00E6493A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E6493A" w:rsidRDefault="00E6493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6493A" w:rsidRDefault="00E6493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6493A" w:rsidRDefault="00E6493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E6493A" w:rsidRDefault="00E6493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  <w:p w:rsidR="00E6493A" w:rsidRDefault="00E6493A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 (Sembilan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E6493A" w:rsidRDefault="00E6493A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E6493A" w:rsidRDefault="00E6493A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6493A" w:rsidRDefault="00E6493A" w:rsidP="00E6493A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6493A" w:rsidRDefault="00E6493A" w:rsidP="00E6493A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FD6CD8" w:rsidRPr="00E6493A" w:rsidRDefault="00E6493A" w:rsidP="00E6493A">
      <w:pP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E936D7"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ALUR TUJUAN PEMBELAJARAN (ATP)</w:t>
      </w:r>
    </w:p>
    <w:p w:rsidR="00FD6CD8" w:rsidRDefault="00E936D7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E6493A" w:rsidRPr="00E6493A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D6CD8" w:rsidRPr="00E6493A" w:rsidRDefault="00E936D7" w:rsidP="00E6493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E6493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Matematika</w:t>
      </w:r>
      <w:proofErr w:type="spellEnd"/>
    </w:p>
    <w:p w:rsidR="00FD6CD8" w:rsidRPr="00E6493A" w:rsidRDefault="00E936D7" w:rsidP="00E6493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E6493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FD6CD8" w:rsidRPr="00E6493A" w:rsidRDefault="00E936D7" w:rsidP="00E6493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 w:rsidR="00E6493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FD6CD8" w:rsidRPr="00E6493A" w:rsidRDefault="00E936D7" w:rsidP="00E6493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E6493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: IX (Sembilan) / I (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6493A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D6CD8" w:rsidRPr="00E6493A" w:rsidRDefault="00E936D7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E6493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E6493A" w:rsidRPr="00BB31D7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6493A" w:rsidRPr="00BB31D7" w:rsidRDefault="00E6493A" w:rsidP="00E6493A">
      <w:pPr>
        <w:pStyle w:val="Heading4"/>
        <w:numPr>
          <w:ilvl w:val="0"/>
          <w:numId w:val="1"/>
        </w:numP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 w:rsidRPr="00BB31D7">
        <w:rPr>
          <w:rFonts w:asciiTheme="majorBidi" w:eastAsia="Google Sans" w:hAnsiTheme="majorBidi" w:cstheme="majorBidi"/>
          <w:color w:val="1B1C1D"/>
        </w:rPr>
        <w:t>Bilangan</w:t>
      </w:r>
      <w:proofErr w:type="spellEnd"/>
    </w:p>
    <w:p w:rsidR="00E6493A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Membaca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menulis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membandingkan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bilangan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bulat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bilangan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rasional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bilangan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desimal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bilangan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berpangkat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bulat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akar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bilangan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notasi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ilmiah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operasi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aritmatika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bilangan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real,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estimasi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perkiraan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termasuk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berkaitan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literasi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finansial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</w:t>
      </w:r>
      <w:proofErr w:type="spellStart"/>
      <w:proofErr w:type="gram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rasio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skala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proporsi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laju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penyelesaian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E6493A" w:rsidRPr="00BB31D7" w:rsidRDefault="00E6493A" w:rsidP="00E6493A">
      <w:pPr>
        <w:pStyle w:val="Heading4"/>
        <w:numPr>
          <w:ilvl w:val="0"/>
          <w:numId w:val="1"/>
        </w:numP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 w:rsidRPr="00BB31D7">
        <w:rPr>
          <w:rFonts w:asciiTheme="majorBidi" w:eastAsia="Google Sans" w:hAnsiTheme="majorBidi" w:cstheme="majorBidi"/>
          <w:color w:val="1B1C1D"/>
        </w:rPr>
        <w:t>Aljabar</w:t>
      </w:r>
      <w:proofErr w:type="spellEnd"/>
    </w:p>
    <w:p w:rsidR="00E6493A" w:rsidRPr="00BB31D7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Mengenali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memprediksi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menggeneralisasi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pola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susunan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benda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bilangan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Menyatakan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situasi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aljabar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sifat-sifat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operasi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komutatif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asosiatif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distributif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menghasilkan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aljabar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ekuivalen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relasi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(domain,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kodomain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range)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menyajikannya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diagram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panah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tabel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himpunan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pasangan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berurutan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grafik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membedakan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beberapa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non linear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linear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grafik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persamaan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pertidaksamaan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linear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satu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variabel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relasi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fungsi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persamaan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linear;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persaman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linear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dua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variabel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beberapa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penyelesaian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6493A" w:rsidRPr="00BB31D7" w:rsidRDefault="00E6493A" w:rsidP="00E6493A">
      <w:pPr>
        <w:pStyle w:val="Heading4"/>
        <w:numPr>
          <w:ilvl w:val="0"/>
          <w:numId w:val="1"/>
        </w:numP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 w:rsidRPr="00BB31D7">
        <w:rPr>
          <w:rFonts w:asciiTheme="majorBidi" w:eastAsia="Google Sans" w:hAnsiTheme="majorBidi" w:cstheme="majorBidi"/>
          <w:color w:val="1B1C1D"/>
        </w:rPr>
        <w:t>Pengukuran</w:t>
      </w:r>
      <w:proofErr w:type="spellEnd"/>
    </w:p>
    <w:p w:rsidR="00E6493A" w:rsidRPr="00BB31D7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Menentukan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keliling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luas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panjang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busur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sudut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luas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juring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lingkaran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proofErr w:type="gram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menentukan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luas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permukaan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volume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bangun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prisma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tabung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bola,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limas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kerucut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pengaruh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proporsional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bangun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datar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bangun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ukuran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panjang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besar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sudut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luas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volume.</w:t>
      </w:r>
    </w:p>
    <w:p w:rsidR="00E6493A" w:rsidRPr="00BB31D7" w:rsidRDefault="00E6493A" w:rsidP="00E6493A">
      <w:pPr>
        <w:pStyle w:val="Heading4"/>
        <w:numPr>
          <w:ilvl w:val="0"/>
          <w:numId w:val="1"/>
        </w:numP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 w:rsidRPr="00BB31D7">
        <w:rPr>
          <w:rFonts w:asciiTheme="majorBidi" w:eastAsia="Google Sans" w:hAnsiTheme="majorBidi" w:cstheme="majorBidi"/>
          <w:color w:val="1B1C1D"/>
        </w:rPr>
        <w:t>Geometri</w:t>
      </w:r>
      <w:proofErr w:type="spellEnd"/>
    </w:p>
    <w:p w:rsidR="00E6493A" w:rsidRPr="00BB31D7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jaring-jaring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bangun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prisma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tabung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limas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kerucut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bangun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jaring-jaringnya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hubungan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antar-sudut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terbentuk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oleh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dua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garis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berpotongan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oleh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dua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garis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sejajar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dipotong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sebuah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garis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transversal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termasuk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menentukan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jumlah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besar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sudut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sebuah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segitiga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menentukan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besar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sudut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belum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diketahui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sebuah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segitiga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sifat-sifat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kekongruenan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kesebangunan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segitiga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segiempat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menggunakannya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kebenaran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teorema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Pythagoras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menggunakannya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termasuk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pengenalan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bilangan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irasional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jarak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antara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dua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titik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bidang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koordinat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Kartesius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</w:t>
      </w:r>
      <w:proofErr w:type="spellStart"/>
      <w:proofErr w:type="gram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transformasi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tunggal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refleksi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translasi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rotasi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dilatasi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titik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garis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bangun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datar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bidang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koordinat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Kartesius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menggunakannya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E6493A" w:rsidRPr="00BB31D7" w:rsidRDefault="00E6493A" w:rsidP="00E6493A">
      <w:pPr>
        <w:pStyle w:val="Heading4"/>
        <w:numPr>
          <w:ilvl w:val="0"/>
          <w:numId w:val="1"/>
        </w:numP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 w:rsidRPr="00BB31D7">
        <w:rPr>
          <w:rFonts w:asciiTheme="majorBidi" w:eastAsia="Google Sans" w:hAnsiTheme="majorBidi" w:cstheme="majorBidi"/>
          <w:color w:val="1B1C1D"/>
        </w:rPr>
        <w:t>Analisis</w:t>
      </w:r>
      <w:proofErr w:type="spellEnd"/>
      <w:r w:rsidRPr="00BB31D7">
        <w:rPr>
          <w:rFonts w:asciiTheme="majorBidi" w:eastAsia="Google Sans" w:hAnsiTheme="majorBidi" w:cstheme="majorBidi"/>
          <w:color w:val="1B1C1D"/>
        </w:rPr>
        <w:t xml:space="preserve"> Data </w:t>
      </w:r>
      <w:proofErr w:type="spellStart"/>
      <w:r w:rsidRPr="00BB31D7">
        <w:rPr>
          <w:rFonts w:asciiTheme="majorBidi" w:eastAsia="Google Sans" w:hAnsiTheme="majorBidi" w:cstheme="majorBidi"/>
          <w:color w:val="1B1C1D"/>
        </w:rPr>
        <w:t>dan</w:t>
      </w:r>
      <w:proofErr w:type="spellEnd"/>
      <w:r w:rsidRPr="00BB31D7">
        <w:rPr>
          <w:rFonts w:asciiTheme="majorBidi" w:eastAsia="Google Sans" w:hAnsiTheme="majorBidi" w:cstheme="majorBidi"/>
          <w:color w:val="1B1C1D"/>
        </w:rPr>
        <w:t xml:space="preserve"> </w:t>
      </w:r>
      <w:proofErr w:type="spellStart"/>
      <w:r w:rsidRPr="00BB31D7">
        <w:rPr>
          <w:rFonts w:asciiTheme="majorBidi" w:eastAsia="Google Sans" w:hAnsiTheme="majorBidi" w:cstheme="majorBidi"/>
          <w:color w:val="1B1C1D"/>
        </w:rPr>
        <w:t>Peluang</w:t>
      </w:r>
      <w:proofErr w:type="spellEnd"/>
    </w:p>
    <w:p w:rsidR="00E6493A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Merumuskan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pertanyaan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mengumpulkan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menjawab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pertanyaan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situasi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diagram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batang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diagram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lingkaran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menginterpretasi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mengambil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sampel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mewakili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populasi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mendapatkan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yang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menentukan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menafsirkan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rerata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(mean), median, modus,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jangkauan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(range)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tersebut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menyelesaikan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termasuk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membandingkan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kelompoknya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membandingkan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dua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kelompok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memprediksi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membuat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keputusan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);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menyelidiki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kemungkinan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adanya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pengukuran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pusat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tersebut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akibat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data. </w:t>
      </w:r>
      <w:proofErr w:type="spellStart"/>
      <w:proofErr w:type="gram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pengertian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peluang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frekuensi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relatif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menentukan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frekuensi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harapan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satu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kejadian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percobaan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semua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percobaan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muncul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merata</w:t>
      </w:r>
      <w:proofErr w:type="spellEnd"/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  <w:proofErr w:type="gramEnd"/>
    </w:p>
    <w:p w:rsidR="00FD6CD8" w:rsidRDefault="00FD6CD8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E6493A" w:rsidRPr="00E6493A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096"/>
        <w:gridCol w:w="3232"/>
        <w:gridCol w:w="2612"/>
        <w:gridCol w:w="1347"/>
      </w:tblGrid>
      <w:tr w:rsidR="00FD6CD8" w:rsidRPr="00E6493A" w:rsidTr="00E6493A">
        <w:trPr>
          <w:tblHeader/>
        </w:trPr>
        <w:tc>
          <w:tcPr>
            <w:tcW w:w="1129" w:type="pct"/>
            <w:vAlign w:val="center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740" w:type="pct"/>
            <w:vAlign w:val="center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406" w:type="pct"/>
            <w:vAlign w:val="center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725" w:type="pct"/>
            <w:vAlign w:val="center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Sistem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Persamaan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Linear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memodelkan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situasi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Persamaan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Linear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Variabel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(PLDV)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Pemodelan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Sistem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Persamaan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Linear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Var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iabel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(SPLDV)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grafik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Grafik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substitusi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Substitusi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eliminasi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Eliminasi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campuran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menerapkannya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alah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Penyelesaian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SPLDV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2 :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lengkung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jaring-jaringnya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Klasifikasi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Jaring-Jaring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permukaan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datar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kubus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balok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prisma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Permukaan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volume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datar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kubus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balok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prisma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Volume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permukaan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lengkung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kerucut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bola).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Permukaan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Lengkung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volume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lengkung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kerucut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bola)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Volume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Lengkung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Transformasi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Geometri</w:t>
            </w:r>
            <w:proofErr w:type="spellEnd"/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translasi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pergeseran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bidang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Translasi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Pergeseran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refleksi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pencerminan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-x,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-y,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Pencerminan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mendeskripsikan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rotasi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perputaran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pusat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O(</w:t>
            </w:r>
            <w:proofErr w:type="gram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0,0).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Rotasi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Perputaran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kekongruenan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datar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transformasi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isometri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translasi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rotasi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Kekongruenan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koordinat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bayangan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dilatasi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perbesaran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/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pengecilan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transformasi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isometri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Dilatasi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Perbesaran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Pengecilan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Pemilihan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teo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retis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percobaan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Teoretis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teoretis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empiris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frekuensi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relatif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frekuensi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harapan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Peluang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Empiris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Harapan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populasi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representatif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Representatif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FD6CD8" w:rsidRPr="00E6493A" w:rsidTr="00E6493A">
        <w:tc>
          <w:tcPr>
            <w:tcW w:w="1129" w:type="pct"/>
          </w:tcPr>
          <w:p w:rsidR="00FD6CD8" w:rsidRPr="00E6493A" w:rsidRDefault="00FD6CD8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40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pemilihan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acak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menerapkannya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merumuskan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statistik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406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Pemilihan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Sampel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Acak</w:t>
            </w:r>
            <w:proofErr w:type="spellEnd"/>
          </w:p>
        </w:tc>
        <w:tc>
          <w:tcPr>
            <w:tcW w:w="725" w:type="pct"/>
          </w:tcPr>
          <w:p w:rsidR="00FD6CD8" w:rsidRPr="00E6493A" w:rsidRDefault="00E936D7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6493A" w:rsidRPr="00E6493A" w:rsidTr="00E6493A">
        <w:tc>
          <w:tcPr>
            <w:tcW w:w="4275" w:type="pct"/>
            <w:gridSpan w:val="3"/>
          </w:tcPr>
          <w:p w:rsidR="00E6493A" w:rsidRPr="00E6493A" w:rsidRDefault="00E6493A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Total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725" w:type="pct"/>
          </w:tcPr>
          <w:p w:rsidR="00E6493A" w:rsidRPr="00E6493A" w:rsidRDefault="00E6493A" w:rsidP="00E6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76 JP</w:t>
            </w:r>
          </w:p>
        </w:tc>
      </w:tr>
    </w:tbl>
    <w:p w:rsidR="00FD6CD8" w:rsidRDefault="00FD6CD8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E6493A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6493A" w:rsidTr="00E6493A">
        <w:tc>
          <w:tcPr>
            <w:tcW w:w="5437" w:type="dxa"/>
          </w:tcPr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</w:t>
            </w: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6493A" w:rsidRDefault="00E6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E6493A" w:rsidRDefault="00E6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E6493A" w:rsidRDefault="00E6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6493A" w:rsidRDefault="00E6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6493A" w:rsidRDefault="00E6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E6493A" w:rsidRPr="00E6493A" w:rsidRDefault="00E6493A" w:rsidP="00E6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E6493A" w:rsidRPr="00E6493A" w:rsidSect="00E936D7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D6CD8"/>
    <w:rsid w:val="00E6493A"/>
    <w:rsid w:val="00E936D7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E64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E6493A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E64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E6493A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2025-07-28T15:07:00Z</dcterms:created>
  <dcterms:modified xsi:type="dcterms:W3CDTF">2025-07-28T15:13:00Z</dcterms:modified>
</cp:coreProperties>
</file>