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D4" w:rsidRPr="00884717" w:rsidRDefault="00E662D4" w:rsidP="00E662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717">
        <w:rPr>
          <w:rFonts w:ascii="Times New Roman" w:hAnsi="Times New Roman" w:cs="Times New Roman"/>
          <w:b/>
          <w:bCs/>
          <w:sz w:val="24"/>
          <w:szCs w:val="24"/>
        </w:rPr>
        <w:t>ALUR TU</w:t>
      </w:r>
      <w:r w:rsidRPr="00884717">
        <w:rPr>
          <w:rFonts w:ascii="Times New Roman" w:hAnsi="Times New Roman" w:cs="Times New Roman"/>
          <w:b/>
          <w:bCs/>
          <w:sz w:val="24"/>
          <w:szCs w:val="24"/>
          <w:lang w:val="id-ID"/>
        </w:rPr>
        <w:t>J</w:t>
      </w:r>
      <w:r w:rsidRPr="00884717">
        <w:rPr>
          <w:rFonts w:ascii="Times New Roman" w:hAnsi="Times New Roman" w:cs="Times New Roman"/>
          <w:b/>
          <w:bCs/>
          <w:sz w:val="24"/>
          <w:szCs w:val="24"/>
        </w:rPr>
        <w:t>UAN PEMBELAJARAN</w:t>
      </w:r>
    </w:p>
    <w:p w:rsidR="00E662D4" w:rsidRPr="00884717" w:rsidRDefault="00E662D4" w:rsidP="00E662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717">
        <w:rPr>
          <w:rFonts w:ascii="Times New Roman" w:hAnsi="Times New Roman" w:cs="Times New Roman"/>
          <w:b/>
          <w:bCs/>
          <w:sz w:val="24"/>
          <w:szCs w:val="24"/>
        </w:rPr>
        <w:t>PENDIDIKAN AGAMA ISLAM DAN BUDI PEKERTI</w:t>
      </w:r>
    </w:p>
    <w:p w:rsidR="00E662D4" w:rsidRDefault="00E662D4" w:rsidP="00E662D4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"/>
        <w:gridCol w:w="5528"/>
      </w:tblGrid>
      <w:tr w:rsidR="00E662D4" w:rsidRPr="00820BC8" w:rsidTr="00C94B1A">
        <w:tc>
          <w:tcPr>
            <w:tcW w:w="2410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275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2D4" w:rsidRPr="00820BC8" w:rsidTr="00C94B1A">
        <w:tc>
          <w:tcPr>
            <w:tcW w:w="2410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75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62D4" w:rsidRPr="00820BC8" w:rsidTr="00C94B1A">
        <w:tc>
          <w:tcPr>
            <w:tcW w:w="2410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</w:p>
        </w:tc>
        <w:tc>
          <w:tcPr>
            <w:tcW w:w="275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662D4" w:rsidRPr="00820BC8" w:rsidTr="00C94B1A">
        <w:tc>
          <w:tcPr>
            <w:tcW w:w="2410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Ajaran</w:t>
            </w:r>
            <w:proofErr w:type="spellEnd"/>
          </w:p>
        </w:tc>
        <w:tc>
          <w:tcPr>
            <w:tcW w:w="275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E662D4" w:rsidRPr="00820BC8" w:rsidRDefault="00E662D4" w:rsidP="00C94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2D4" w:rsidRPr="00820BC8" w:rsidRDefault="00E662D4" w:rsidP="00E662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272" w:type="dxa"/>
        <w:tblInd w:w="-5" w:type="dxa"/>
        <w:tblLook w:val="04A0" w:firstRow="1" w:lastRow="0" w:firstColumn="1" w:lastColumn="0" w:noHBand="0" w:noVBand="1"/>
      </w:tblPr>
      <w:tblGrid>
        <w:gridCol w:w="1701"/>
        <w:gridCol w:w="4491"/>
        <w:gridCol w:w="4111"/>
        <w:gridCol w:w="3969"/>
      </w:tblGrid>
      <w:tr w:rsidR="00E662D4" w:rsidRPr="00820BC8" w:rsidTr="00C94B1A">
        <w:tc>
          <w:tcPr>
            <w:tcW w:w="1701" w:type="dxa"/>
          </w:tcPr>
          <w:p w:rsidR="00E662D4" w:rsidRPr="00820BC8" w:rsidRDefault="00E662D4" w:rsidP="00C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</w:p>
        </w:tc>
        <w:tc>
          <w:tcPr>
            <w:tcW w:w="4491" w:type="dxa"/>
          </w:tcPr>
          <w:p w:rsidR="00E662D4" w:rsidRPr="00820BC8" w:rsidRDefault="00E662D4" w:rsidP="00C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111" w:type="dxa"/>
          </w:tcPr>
          <w:p w:rsidR="00E662D4" w:rsidRPr="00820BC8" w:rsidRDefault="00E662D4" w:rsidP="00C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969" w:type="dxa"/>
          </w:tcPr>
          <w:p w:rsidR="00E662D4" w:rsidRPr="00820BC8" w:rsidRDefault="00E662D4" w:rsidP="00C9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</w:tr>
      <w:tr w:rsidR="00E662D4" w:rsidRPr="00820BC8" w:rsidTr="00C94B1A">
        <w:tc>
          <w:tcPr>
            <w:tcW w:w="170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Al-Qur’an</w:t>
            </w: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Hadis</w:t>
            </w:r>
            <w:proofErr w:type="spellEnd"/>
          </w:p>
        </w:tc>
        <w:tc>
          <w:tcPr>
            <w:tcW w:w="449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menghafal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pokok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surah- surah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pendek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ayat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Al-Qur’an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keragaman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662D4" w:rsidRPr="00820BC8" w:rsidRDefault="00E662D4" w:rsidP="0088471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 Q.S Al- Maun, Q.S Ad-Duha</w:t>
            </w:r>
          </w:p>
          <w:p w:rsidR="00E662D4" w:rsidRPr="00820BC8" w:rsidRDefault="00E662D4" w:rsidP="0088471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 Q.S Al- Hujarat/49:13 tentang keragaman, Q.S Al-A’la/87: 1-19</w:t>
            </w:r>
          </w:p>
        </w:tc>
        <w:tc>
          <w:tcPr>
            <w:tcW w:w="3969" w:type="dxa"/>
          </w:tcPr>
          <w:p w:rsidR="00E662D4" w:rsidRPr="00820BC8" w:rsidRDefault="00E662D4" w:rsidP="00884717">
            <w:pPr>
              <w:pStyle w:val="ListParagraph"/>
              <w:numPr>
                <w:ilvl w:val="0"/>
                <w:numId w:val="6"/>
              </w:numPr>
              <w:ind w:left="4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 Q.S Al- Maun, Q.S Ad-Duha</w:t>
            </w:r>
          </w:p>
          <w:p w:rsidR="00E662D4" w:rsidRPr="00820BC8" w:rsidRDefault="00E662D4" w:rsidP="00884717">
            <w:pPr>
              <w:pStyle w:val="ListParagraph"/>
              <w:numPr>
                <w:ilvl w:val="0"/>
                <w:numId w:val="6"/>
              </w:numPr>
              <w:ind w:left="4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Memahami Q.S Al- Hujarat/49:13 tentang keragaman, Q.S Al-A’la/87: 1-19</w:t>
            </w:r>
          </w:p>
          <w:p w:rsidR="00E662D4" w:rsidRPr="00820BC8" w:rsidRDefault="00E662D4" w:rsidP="00884717">
            <w:pPr>
              <w:pStyle w:val="ListParagraph"/>
              <w:ind w:left="4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62D4" w:rsidRPr="00820BC8" w:rsidTr="00C94B1A">
        <w:tc>
          <w:tcPr>
            <w:tcW w:w="170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Akidah</w:t>
            </w:r>
            <w:proofErr w:type="spellEnd"/>
          </w:p>
        </w:tc>
        <w:tc>
          <w:tcPr>
            <w:tcW w:w="449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asmaul</w:t>
            </w:r>
            <w:proofErr w:type="spellEnd"/>
            <w:r w:rsidR="00884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husna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keniscayaan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peritiwa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qadāʾ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qadr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662D4" w:rsidRPr="00820BC8" w:rsidRDefault="00E662D4" w:rsidP="00884717">
            <w:pPr>
              <w:pStyle w:val="NormalWeb"/>
              <w:numPr>
                <w:ilvl w:val="0"/>
                <w:numId w:val="3"/>
              </w:numPr>
              <w:spacing w:before="240" w:beforeAutospacing="0" w:after="240" w:afterAutospacing="0"/>
              <w:jc w:val="both"/>
            </w:pPr>
            <w:r w:rsidRPr="00820BC8">
              <w:rPr>
                <w:bCs/>
                <w:color w:val="000000"/>
              </w:rPr>
              <w:t>Memahami Asmaul Husna</w:t>
            </w:r>
            <w:r w:rsidR="00884717">
              <w:rPr>
                <w:bCs/>
                <w:color w:val="000000"/>
                <w:lang w:val="en-US"/>
              </w:rPr>
              <w:t xml:space="preserve"> </w:t>
            </w:r>
            <w:r w:rsidR="00884717">
              <w:rPr>
                <w:bCs/>
                <w:color w:val="000000"/>
              </w:rPr>
              <w:t xml:space="preserve">Al </w:t>
            </w:r>
            <w:r w:rsidR="00884717">
              <w:rPr>
                <w:bCs/>
                <w:color w:val="000000"/>
                <w:lang w:val="en-US"/>
              </w:rPr>
              <w:t>Q</w:t>
            </w:r>
            <w:r w:rsidRPr="00820BC8">
              <w:rPr>
                <w:bCs/>
                <w:color w:val="000000"/>
              </w:rPr>
              <w:t>owiyyun</w:t>
            </w:r>
            <w:r w:rsidR="00884717">
              <w:rPr>
                <w:bCs/>
                <w:color w:val="000000"/>
                <w:lang w:val="en-US"/>
              </w:rPr>
              <w:t>,</w:t>
            </w:r>
            <w:r w:rsidRPr="00820BC8">
              <w:rPr>
                <w:bCs/>
                <w:color w:val="000000"/>
              </w:rPr>
              <w:t xml:space="preserve"> Al Qayyum,</w:t>
            </w:r>
            <w:r w:rsidR="00884717">
              <w:rPr>
                <w:bCs/>
                <w:color w:val="000000"/>
                <w:lang w:val="en-US"/>
              </w:rPr>
              <w:t xml:space="preserve"> </w:t>
            </w:r>
            <w:r w:rsidRPr="00820BC8">
              <w:rPr>
                <w:bCs/>
                <w:color w:val="000000"/>
              </w:rPr>
              <w:t>Al Muhyi, Al Mumit, Al ba’is, Al Ghaffar Al ‘Afuw,</w:t>
            </w:r>
            <w:r w:rsidR="00884717">
              <w:rPr>
                <w:bCs/>
                <w:color w:val="000000"/>
                <w:lang w:val="en-US"/>
              </w:rPr>
              <w:t xml:space="preserve"> </w:t>
            </w:r>
            <w:r w:rsidRPr="00820BC8">
              <w:rPr>
                <w:bCs/>
                <w:color w:val="000000"/>
              </w:rPr>
              <w:t>Al Wahid, dan AS Samad</w:t>
            </w:r>
          </w:p>
          <w:p w:rsidR="00E662D4" w:rsidRPr="00820BC8" w:rsidRDefault="00E662D4" w:rsidP="0088471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iman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hari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akhir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kada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Qadar</w:t>
            </w:r>
            <w:proofErr w:type="spellEnd"/>
          </w:p>
        </w:tc>
        <w:tc>
          <w:tcPr>
            <w:tcW w:w="3969" w:type="dxa"/>
          </w:tcPr>
          <w:p w:rsidR="00E662D4" w:rsidRPr="00820BC8" w:rsidRDefault="00E662D4" w:rsidP="00884717">
            <w:pPr>
              <w:pStyle w:val="NormalWeb"/>
              <w:numPr>
                <w:ilvl w:val="0"/>
                <w:numId w:val="6"/>
              </w:numPr>
              <w:spacing w:before="240" w:beforeAutospacing="0" w:after="240" w:afterAutospacing="0"/>
              <w:ind w:left="475"/>
              <w:jc w:val="both"/>
            </w:pPr>
            <w:r w:rsidRPr="00820BC8">
              <w:rPr>
                <w:bCs/>
                <w:color w:val="000000"/>
              </w:rPr>
              <w:t>Memahami Asmaul HusnaAl qowiyyun Al Qayyum,Al Muhyi, Al Mumit, Al ba’is, Al Ghaffar Al ‘Afuw,Al Wahid, dan AS Samad</w:t>
            </w:r>
          </w:p>
          <w:p w:rsidR="00E662D4" w:rsidRPr="00820BC8" w:rsidRDefault="00E662D4" w:rsidP="00884717">
            <w:pPr>
              <w:pStyle w:val="ListParagraph"/>
              <w:numPr>
                <w:ilvl w:val="0"/>
                <w:numId w:val="6"/>
              </w:numPr>
              <w:ind w:left="4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iman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kepada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hari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akhir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kada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Qada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d-ID"/>
              </w:rPr>
              <w:t>r</w:t>
            </w:r>
          </w:p>
        </w:tc>
      </w:tr>
      <w:tr w:rsidR="00E662D4" w:rsidRPr="00820BC8" w:rsidTr="00C94B1A">
        <w:tc>
          <w:tcPr>
            <w:tcW w:w="170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Akhlak</w:t>
            </w:r>
            <w:proofErr w:type="spellEnd"/>
          </w:p>
        </w:tc>
        <w:tc>
          <w:tcPr>
            <w:tcW w:w="449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mengenal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dialog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antar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agama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kepercayaan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menyadari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peluang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tantangan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bisa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muncul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keragaman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di Indonesia.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arti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ideologi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menjaga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kesatuan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keberagaman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juga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pentingnya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introspeksi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pribadi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harinya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menerima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pendapat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menemukan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titik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kesamaan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kalimah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sawāʾ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persatuan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kerukunan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peran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khalifah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Allah di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menebarkan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kasih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sayang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kerusakan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muka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bumi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662D4" w:rsidRPr="00820BC8" w:rsidRDefault="00E662D4" w:rsidP="00884717">
            <w:pPr>
              <w:pStyle w:val="NormalWeb"/>
              <w:numPr>
                <w:ilvl w:val="0"/>
                <w:numId w:val="2"/>
              </w:numPr>
              <w:spacing w:before="200" w:beforeAutospacing="0" w:after="0" w:afterAutospacing="0"/>
              <w:ind w:right="-15"/>
              <w:jc w:val="both"/>
            </w:pPr>
            <w:r w:rsidRPr="00820BC8">
              <w:rPr>
                <w:bCs/>
                <w:color w:val="000000"/>
              </w:rPr>
              <w:lastRenderedPageBreak/>
              <w:t>Memahami dialog antar agama dan kepercayaan peluang dan tantangan dari keragaman di Indonesia arti ideologi secara sederhana dan pandangan hidup pentingnya menjaga kesatuan atas keberagaman pentingnya introspeksi diri </w:t>
            </w:r>
          </w:p>
          <w:p w:rsidR="00E662D4" w:rsidRPr="00820BC8" w:rsidRDefault="00E662D4" w:rsidP="00884717">
            <w:pPr>
              <w:pStyle w:val="NormalWeb"/>
              <w:numPr>
                <w:ilvl w:val="0"/>
                <w:numId w:val="2"/>
              </w:numPr>
              <w:spacing w:before="200" w:beforeAutospacing="0" w:after="0" w:afterAutospacing="0"/>
              <w:ind w:right="-15"/>
              <w:jc w:val="both"/>
            </w:pPr>
            <w:r w:rsidRPr="00820BC8">
              <w:rPr>
                <w:bCs/>
                <w:color w:val="000000"/>
              </w:rPr>
              <w:lastRenderedPageBreak/>
              <w:t>Memahami pentingnya pendapat yang logis menerima perbedaan pendapat dan menemukan titik kesamaan ( kalimah sawa’) dan peran manusia sebagai khalifah Allah di muka bumi</w:t>
            </w:r>
          </w:p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62D4" w:rsidRPr="00820BC8" w:rsidRDefault="00E662D4" w:rsidP="00884717">
            <w:pPr>
              <w:pStyle w:val="NormalWeb"/>
              <w:numPr>
                <w:ilvl w:val="0"/>
                <w:numId w:val="6"/>
              </w:numPr>
              <w:spacing w:before="200" w:beforeAutospacing="0" w:after="0" w:afterAutospacing="0"/>
              <w:ind w:left="475" w:right="-15"/>
              <w:jc w:val="both"/>
            </w:pPr>
            <w:r w:rsidRPr="00820BC8">
              <w:rPr>
                <w:bCs/>
                <w:color w:val="000000"/>
              </w:rPr>
              <w:lastRenderedPageBreak/>
              <w:t>Memahami dialog antar agama dan kepercayaan peluang dan tantangan dari keragaman di Indonesia arti ideologi secara sederhana dan pandangan hidup pentingnya menjaga kesatuan atas keberagaman pentingnya introspeksi diri </w:t>
            </w:r>
          </w:p>
          <w:p w:rsidR="00E662D4" w:rsidRPr="00820BC8" w:rsidRDefault="00E662D4" w:rsidP="00884717">
            <w:pPr>
              <w:pStyle w:val="NormalWeb"/>
              <w:numPr>
                <w:ilvl w:val="0"/>
                <w:numId w:val="6"/>
              </w:numPr>
              <w:spacing w:before="200" w:beforeAutospacing="0" w:after="0" w:afterAutospacing="0"/>
              <w:ind w:left="475" w:right="-15"/>
              <w:jc w:val="both"/>
            </w:pPr>
            <w:r w:rsidRPr="00820BC8">
              <w:rPr>
                <w:bCs/>
                <w:color w:val="000000"/>
              </w:rPr>
              <w:lastRenderedPageBreak/>
              <w:t>Memahami pentingnya pendapat yang logis menerima perbedaan pendapat dan menemukan titik kesamaan ( kalimah sawa’) dan peran manusia sebagai khalifah Allah di muka bumi</w:t>
            </w:r>
          </w:p>
          <w:p w:rsidR="00E662D4" w:rsidRPr="00820BC8" w:rsidRDefault="00E662D4" w:rsidP="00884717">
            <w:pPr>
              <w:pStyle w:val="ListParagraph"/>
              <w:ind w:left="4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</w:p>
        </w:tc>
      </w:tr>
      <w:tr w:rsidR="00E662D4" w:rsidRPr="00820BC8" w:rsidTr="00C94B1A">
        <w:tc>
          <w:tcPr>
            <w:tcW w:w="170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Fikih</w:t>
            </w:r>
            <w:proofErr w:type="spellEnd"/>
          </w:p>
        </w:tc>
        <w:tc>
          <w:tcPr>
            <w:tcW w:w="449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fikih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zakat,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infak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sedekah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hadiah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ketentuan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haji, halal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haram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mempraktikkan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puasa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sunnah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662D4" w:rsidRPr="00820BC8" w:rsidRDefault="00E662D4" w:rsidP="00884717">
            <w:pPr>
              <w:pStyle w:val="NormalWeb"/>
              <w:numPr>
                <w:ilvl w:val="0"/>
                <w:numId w:val="4"/>
              </w:numPr>
              <w:spacing w:before="200" w:beforeAutospacing="0" w:after="0" w:afterAutospacing="0"/>
              <w:ind w:right="-15"/>
              <w:jc w:val="both"/>
            </w:pPr>
            <w:r w:rsidRPr="00820BC8">
              <w:rPr>
                <w:bCs/>
                <w:color w:val="000000"/>
              </w:rPr>
              <w:t>Memahami zakat, infaq, sedekah dan hadiah.</w:t>
            </w:r>
          </w:p>
          <w:p w:rsidR="00E662D4" w:rsidRPr="00884717" w:rsidRDefault="00E662D4" w:rsidP="00884717">
            <w:pPr>
              <w:pStyle w:val="NormalWeb"/>
              <w:numPr>
                <w:ilvl w:val="0"/>
                <w:numId w:val="4"/>
              </w:numPr>
              <w:spacing w:before="200" w:beforeAutospacing="0" w:after="0" w:afterAutospacing="0"/>
              <w:ind w:right="-15"/>
              <w:jc w:val="both"/>
            </w:pPr>
            <w:r w:rsidRPr="00820BC8">
              <w:rPr>
                <w:bCs/>
                <w:color w:val="000000"/>
              </w:rPr>
              <w:t>memahami ketentuan haji halal dan haram serta puasa sunnah</w:t>
            </w:r>
          </w:p>
        </w:tc>
        <w:tc>
          <w:tcPr>
            <w:tcW w:w="3969" w:type="dxa"/>
          </w:tcPr>
          <w:p w:rsidR="00E662D4" w:rsidRPr="00820BC8" w:rsidRDefault="00E662D4" w:rsidP="00884717">
            <w:pPr>
              <w:pStyle w:val="NormalWeb"/>
              <w:numPr>
                <w:ilvl w:val="0"/>
                <w:numId w:val="6"/>
              </w:numPr>
              <w:spacing w:before="200" w:beforeAutospacing="0" w:after="0" w:afterAutospacing="0"/>
              <w:ind w:left="475" w:right="-15"/>
              <w:jc w:val="both"/>
            </w:pPr>
            <w:r w:rsidRPr="00820BC8">
              <w:rPr>
                <w:bCs/>
                <w:color w:val="000000"/>
              </w:rPr>
              <w:t>Memahami zakat, infaq, sedekah dan hadiah.</w:t>
            </w:r>
          </w:p>
          <w:p w:rsidR="00E662D4" w:rsidRPr="00820BC8" w:rsidRDefault="00E662D4" w:rsidP="00884717">
            <w:pPr>
              <w:pStyle w:val="ListParagraph"/>
              <w:numPr>
                <w:ilvl w:val="0"/>
                <w:numId w:val="6"/>
              </w:numPr>
              <w:ind w:left="47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d-ID"/>
              </w:rPr>
            </w:pP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Memahami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ketentuan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haji halal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haram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serta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puasa</w:t>
            </w:r>
            <w:proofErr w:type="spellEnd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sunnah</w:t>
            </w:r>
            <w:proofErr w:type="spellEnd"/>
          </w:p>
        </w:tc>
      </w:tr>
      <w:tr w:rsidR="00E662D4" w:rsidRPr="00820BC8" w:rsidTr="00C94B1A">
        <w:tc>
          <w:tcPr>
            <w:tcW w:w="170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Peradaban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Islam</w:t>
            </w:r>
          </w:p>
        </w:tc>
        <w:tc>
          <w:tcPr>
            <w:tcW w:w="4491" w:type="dxa"/>
          </w:tcPr>
          <w:p w:rsidR="00E662D4" w:rsidRPr="00820BC8" w:rsidRDefault="00E662D4" w:rsidP="00884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elemen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sejarah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menghayati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ibrah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kisah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Nabi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Muhammad saw. </w:t>
            </w:r>
            <w:proofErr w:type="gram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gram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masa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separuh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akhir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kerasulannya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kisah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al-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khulafā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al-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rāsyidin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E662D4" w:rsidRPr="00884717" w:rsidRDefault="00E662D4" w:rsidP="00884717">
            <w:pPr>
              <w:pStyle w:val="NormalWeb"/>
              <w:numPr>
                <w:ilvl w:val="0"/>
                <w:numId w:val="5"/>
              </w:numPr>
              <w:spacing w:before="200" w:beforeAutospacing="0" w:after="0" w:afterAutospacing="0"/>
              <w:ind w:right="-15"/>
              <w:jc w:val="both"/>
            </w:pPr>
            <w:r w:rsidRPr="00820BC8">
              <w:rPr>
                <w:bCs/>
                <w:color w:val="000000"/>
              </w:rPr>
              <w:t>Memahami Ibrah dari kisah Nabi Muhammad SAW di masa separuh akhir kerasulannya dan kisah al-khulafah Al Rasyidin </w:t>
            </w:r>
          </w:p>
        </w:tc>
        <w:tc>
          <w:tcPr>
            <w:tcW w:w="3969" w:type="dxa"/>
          </w:tcPr>
          <w:p w:rsidR="00E662D4" w:rsidRPr="00884717" w:rsidRDefault="00E662D4" w:rsidP="00884717">
            <w:pPr>
              <w:pStyle w:val="NormalWeb"/>
              <w:numPr>
                <w:ilvl w:val="0"/>
                <w:numId w:val="6"/>
              </w:numPr>
              <w:spacing w:before="200" w:beforeAutospacing="0" w:after="0" w:afterAutospacing="0"/>
              <w:ind w:left="475" w:right="-15"/>
              <w:jc w:val="both"/>
            </w:pPr>
            <w:r w:rsidRPr="00820BC8">
              <w:rPr>
                <w:bCs/>
                <w:color w:val="000000"/>
              </w:rPr>
              <w:t>Memahami Ibrah dari kisah Nabi Muhammad SAW di masa separuh akhir kerasulannya dan kisah al-khulafah Al Rasyidin </w:t>
            </w:r>
          </w:p>
        </w:tc>
      </w:tr>
    </w:tbl>
    <w:p w:rsidR="00E662D4" w:rsidRPr="00820BC8" w:rsidRDefault="00E662D4" w:rsidP="00E662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D4" w:rsidRPr="00820BC8" w:rsidRDefault="00E662D4" w:rsidP="00E662D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8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2"/>
        <w:gridCol w:w="3816"/>
      </w:tblGrid>
      <w:tr w:rsidR="00E662D4" w:rsidRPr="00820BC8" w:rsidTr="00C94B1A">
        <w:tc>
          <w:tcPr>
            <w:tcW w:w="8505" w:type="dxa"/>
          </w:tcPr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20BC8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t xml:space="preserve"> </w:t>
            </w:r>
          </w:p>
          <w:p w:rsidR="00E662D4" w:rsidRPr="00820BC8" w:rsidRDefault="00E662D4" w:rsidP="00C94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Kepala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NIP. …………………………………</w:t>
            </w:r>
          </w:p>
        </w:tc>
        <w:tc>
          <w:tcPr>
            <w:tcW w:w="2693" w:type="dxa"/>
          </w:tcPr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Jakarta, ……………………</w:t>
            </w:r>
            <w:proofErr w:type="gramEnd"/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Guru PAI </w:t>
            </w:r>
            <w:proofErr w:type="spellStart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820BC8">
              <w:rPr>
                <w:rFonts w:ascii="Times New Roman" w:hAnsi="Times New Roman" w:cs="Times New Roman"/>
                <w:sz w:val="24"/>
                <w:szCs w:val="24"/>
              </w:rPr>
              <w:t xml:space="preserve"> BP</w:t>
            </w: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  <w:p w:rsidR="00E662D4" w:rsidRPr="00820BC8" w:rsidRDefault="00E662D4" w:rsidP="00C94B1A">
            <w:pPr>
              <w:tabs>
                <w:tab w:val="left" w:pos="2835"/>
                <w:tab w:val="left" w:pos="311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BC8">
              <w:rPr>
                <w:rFonts w:ascii="Times New Roman" w:hAnsi="Times New Roman" w:cs="Times New Roman"/>
                <w:sz w:val="24"/>
                <w:szCs w:val="24"/>
              </w:rPr>
              <w:t>NIP. ……………………………….</w:t>
            </w:r>
          </w:p>
        </w:tc>
      </w:tr>
    </w:tbl>
    <w:p w:rsidR="00282D81" w:rsidRDefault="00282D81" w:rsidP="00884717"/>
    <w:sectPr w:rsidR="00282D81" w:rsidSect="00274FC3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1E11"/>
    <w:multiLevelType w:val="hybridMultilevel"/>
    <w:tmpl w:val="DFA6A4F8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8E548E"/>
    <w:multiLevelType w:val="hybridMultilevel"/>
    <w:tmpl w:val="B6E038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60164"/>
    <w:multiLevelType w:val="hybridMultilevel"/>
    <w:tmpl w:val="C28E3988"/>
    <w:lvl w:ilvl="0" w:tplc="0421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BF8054D"/>
    <w:multiLevelType w:val="hybridMultilevel"/>
    <w:tmpl w:val="F2DC91B6"/>
    <w:lvl w:ilvl="0" w:tplc="0421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2EB04902"/>
    <w:multiLevelType w:val="hybridMultilevel"/>
    <w:tmpl w:val="09905D1A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B458CC"/>
    <w:multiLevelType w:val="hybridMultilevel"/>
    <w:tmpl w:val="BA74799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2D4"/>
    <w:rsid w:val="00282D81"/>
    <w:rsid w:val="00884717"/>
    <w:rsid w:val="00E6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D4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2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2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2D4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62D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62D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2D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 PROBOOK</cp:lastModifiedBy>
  <cp:revision>2</cp:revision>
  <dcterms:created xsi:type="dcterms:W3CDTF">2023-06-21T07:45:00Z</dcterms:created>
  <dcterms:modified xsi:type="dcterms:W3CDTF">2023-06-21T23:18:00Z</dcterms:modified>
</cp:coreProperties>
</file>