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AE" w:rsidRPr="00804B9A" w:rsidRDefault="006A1DAE" w:rsidP="006A1DAE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6A1DAE" w:rsidRPr="00804B9A" w:rsidRDefault="006A1DAE" w:rsidP="006A1DAE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6A1DAE" w:rsidRPr="00AD2CF4" w:rsidRDefault="006A1DAE" w:rsidP="006A1DAE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6A1DAE" w:rsidRPr="00804B9A" w:rsidRDefault="006A1DAE" w:rsidP="006A1DA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CD1704" w:rsidRDefault="00946599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9 : </w:t>
      </w:r>
      <w:r w:rsidRPr="009465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MENJADI PRIBADI YANG DAPAT DIPERCAYA SERTA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465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TERHINDAR DARI RIBA DALAM JUAL BELI DAN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4659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HUTANG PIUTANG</w:t>
      </w:r>
    </w:p>
    <w:p w:rsidR="009E73CE" w:rsidRPr="00CD1704" w:rsidRDefault="009E73CE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CD1704" w:rsidTr="00DB52C4">
        <w:tc>
          <w:tcPr>
            <w:tcW w:w="9639" w:type="dxa"/>
            <w:shd w:val="clear" w:color="auto" w:fill="FABF8F" w:themeFill="accent6" w:themeFillTint="99"/>
          </w:tcPr>
          <w:p w:rsidR="00F52DE4" w:rsidRPr="00CD1704" w:rsidRDefault="00F52DE4" w:rsidP="00CD170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D1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CD1704" w:rsidRDefault="009E73CE" w:rsidP="00CD170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17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D1704" w:rsidRDefault="00A823DC" w:rsidP="00CD170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2F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B2FAE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CD1704" w:rsidRDefault="009E73CE" w:rsidP="00CD170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CD1704" w:rsidRDefault="009E73CE" w:rsidP="00CD170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CD1704" w:rsidRDefault="009E73CE" w:rsidP="00CD170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D1704" w:rsidRDefault="009E73CE" w:rsidP="00CD170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CD17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CD1704" w:rsidRDefault="003B68D9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946599" w:rsidRDefault="00CD1704" w:rsidP="00946599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menghubungkan materi muamalah, jual beli, hutang piutang,</w:t>
      </w:r>
      <w:r w:rsidR="00946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riba dengan keseharian peserta didik misalnya pentingnya mengembangkan</w:t>
      </w:r>
      <w:r w:rsidR="00946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sikap toleransi.</w:t>
      </w:r>
      <w:r w:rsidR="00946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52EE" w:rsidRPr="00CD1704" w:rsidRDefault="00CD1704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Peserta didik dapat diminta untuk menceritakan peristiwa yang pernah</w:t>
      </w:r>
      <w:r w:rsidR="00946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dialami terkait muamalah, jual beli, hutang piutang, riba baik di sekolah</w:t>
      </w:r>
      <w:r w:rsidR="00946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maupun di lingkungan tempat tinggal.</w:t>
      </w:r>
    </w:p>
    <w:p w:rsidR="003B68D9" w:rsidRPr="00CD1704" w:rsidRDefault="003B68D9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CD1704" w:rsidRDefault="00AD38E7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CD1704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CD17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CD1704" w:rsidRDefault="003B68D9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CD1704" w:rsidRDefault="00CD1704" w:rsidP="0094659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946599">
        <w:rPr>
          <w:rFonts w:ascii="Times New Roman" w:hAnsi="Times New Roman" w:cs="Times New Roman"/>
          <w:sz w:val="24"/>
          <w:szCs w:val="24"/>
          <w:lang w:val="en-US"/>
        </w:rPr>
        <w:t>Projector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946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yang tersedia</w:t>
      </w:r>
    </w:p>
    <w:p w:rsidR="003B68D9" w:rsidRPr="00CD1704" w:rsidRDefault="003B68D9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CD1704" w:rsidRDefault="00312431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CD1704" w:rsidRDefault="003B68D9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CD1704" w:rsidRDefault="00312431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CD1704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CD1704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CD1704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CD1704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CD1704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CD1704" w:rsidRDefault="00F52DE4" w:rsidP="00CD170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D1704" w:rsidTr="00DB52C4">
        <w:tc>
          <w:tcPr>
            <w:tcW w:w="9639" w:type="dxa"/>
            <w:shd w:val="clear" w:color="auto" w:fill="FABF8F" w:themeFill="accent6" w:themeFillTint="99"/>
          </w:tcPr>
          <w:p w:rsidR="00F52DE4" w:rsidRPr="00CD1704" w:rsidRDefault="00F52DE4" w:rsidP="00CD170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D1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CD1704" w:rsidRDefault="009E73CE" w:rsidP="00CD170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Melalui metode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Numbered Head Together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peserta didik mampu: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Menjelaskan pengertian dan konsep jual beli, hutang piutang, dan riba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menurut ketentuan fikih muamalah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menjalankan dalam kehidupan sehari-hari</w:t>
      </w:r>
    </w:p>
    <w:p w:rsidR="00946599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Melalui pembelajaran berbasis masalah, peserta didik mampu: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Menyelesaikan masalah-masalah jual beli, hutang piutang, dan riba di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era modern sesuai dengan ketentuan fikih muamalah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Terbiasa bersikap jujur, bertanggung jawab, dan dapat dipercaya dalam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bermuamalah</w:t>
      </w:r>
    </w:p>
    <w:p w:rsidR="00946599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Melalui metode </w:t>
      </w:r>
      <w:r w:rsidRPr="00946599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playing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peserta didik mampu: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Menyajikan praktik jual beli dan hutang piutang yang sesuai dengan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ketentuan fikih muamalah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Terbiasa bertanggung jawab dalam menjalankan amanah</w:t>
      </w:r>
    </w:p>
    <w:p w:rsidR="00946599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keempat: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Melalui pembelajaran berbasis produk, peserta didik mampu: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Menyajikan paparan tentang jual beli, hutang piutang, dan riba menurut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ketentuan fikih muamalah</w:t>
      </w:r>
    </w:p>
    <w:p w:rsidR="00BE52EE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Menjadi pribadi yang bertanggung jawab dan dapat dipercaya</w:t>
      </w:r>
    </w:p>
    <w:p w:rsidR="00196144" w:rsidRPr="00CD1704" w:rsidRDefault="00196144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4670B" w:rsidRPr="00350EE8" w:rsidRDefault="0054670B" w:rsidP="0054670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4670B" w:rsidRPr="00350EE8" w:rsidRDefault="0054670B" w:rsidP="0054670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54670B" w:rsidRPr="00350EE8" w:rsidRDefault="0054670B" w:rsidP="0054670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54670B" w:rsidRPr="00350EE8" w:rsidRDefault="0054670B" w:rsidP="0054670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54670B" w:rsidRPr="00350EE8" w:rsidRDefault="0054670B" w:rsidP="0054670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4670B" w:rsidRPr="00350EE8" w:rsidRDefault="0054670B" w:rsidP="0054670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382C07" w:rsidRPr="00382C07" w:rsidRDefault="00382C07" w:rsidP="00382C0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C07">
        <w:rPr>
          <w:rFonts w:ascii="Times New Roman" w:hAnsi="Times New Roman" w:cs="Times New Roman"/>
          <w:sz w:val="24"/>
          <w:szCs w:val="24"/>
          <w:lang w:val="en-US"/>
        </w:rPr>
        <w:t>Bagaimana caranya agar terhindar dari praktek riba dalam kegiatan jual beli barang dan pinjam meminjam uang?</w:t>
      </w:r>
    </w:p>
    <w:p w:rsidR="00382C07" w:rsidRPr="00382C07" w:rsidRDefault="00382C07" w:rsidP="00382C0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C07">
        <w:rPr>
          <w:rFonts w:ascii="Times New Roman" w:hAnsi="Times New Roman" w:cs="Times New Roman"/>
          <w:sz w:val="24"/>
          <w:szCs w:val="24"/>
          <w:lang w:val="en-US"/>
        </w:rPr>
        <w:t>Apakah semua tambahan dalam transaksi utang piutang itu termasuk riba yang diharamkan atau bagaimana?</w:t>
      </w:r>
    </w:p>
    <w:p w:rsidR="00382C07" w:rsidRPr="00382C07" w:rsidRDefault="00382C07" w:rsidP="00382C0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C07">
        <w:rPr>
          <w:rFonts w:ascii="Times New Roman" w:hAnsi="Times New Roman" w:cs="Times New Roman"/>
          <w:sz w:val="24"/>
          <w:szCs w:val="24"/>
          <w:lang w:val="en-US"/>
        </w:rPr>
        <w:t xml:space="preserve">Bagaimana </w:t>
      </w:r>
      <w:proofErr w:type="gramStart"/>
      <w:r w:rsidRPr="00382C07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382C07">
        <w:rPr>
          <w:rFonts w:ascii="Times New Roman" w:hAnsi="Times New Roman" w:cs="Times New Roman"/>
          <w:sz w:val="24"/>
          <w:szCs w:val="24"/>
          <w:lang w:val="en-US"/>
        </w:rPr>
        <w:t xml:space="preserve"> Islam menanggulangi kerugian yang mungkin dialami oleh pemberi pinjaman?</w:t>
      </w:r>
    </w:p>
    <w:p w:rsidR="0054670B" w:rsidRPr="00382C07" w:rsidRDefault="00382C07" w:rsidP="00382C0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82C07">
        <w:rPr>
          <w:rFonts w:ascii="Times New Roman" w:hAnsi="Times New Roman" w:cs="Times New Roman"/>
          <w:sz w:val="24"/>
          <w:szCs w:val="24"/>
          <w:lang w:val="en-US"/>
        </w:rPr>
        <w:t>Apakah setiap riba dalam bentuk apapun pasti diharamkan secara mutlak?</w:t>
      </w:r>
    </w:p>
    <w:p w:rsidR="0054670B" w:rsidRDefault="0054670B" w:rsidP="0054670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54670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54670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Pr="00526835" w:rsidRDefault="009B2FAE" w:rsidP="0054670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670B" w:rsidRPr="00350EE8" w:rsidRDefault="0054670B" w:rsidP="0054670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9E73CE" w:rsidRPr="00CD1704" w:rsidRDefault="00F70A3B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membuka pembelajaran dengan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dan berdoa, pembacaan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al-Qur’an surah/ayat pilihan, memperhatikan kesiapan peserta didik,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memeriksa kehadiran, kerapihan pakaian, posisi, dan tempat duduk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peserta didik.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Guru memberikan motivasi dan mengajukan pertanyaan yang berkaitan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dengan materi pembelajaran, menyampaikan cakupan materi, tujuan,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dan kegiatan yang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dilakukan, lingkup dan teknik penilaian.</w:t>
      </w:r>
    </w:p>
    <w:p w:rsidR="009E73CE" w:rsidRPr="00CD1704" w:rsidRDefault="00CD1704" w:rsidP="00CD170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Mengondisikan peserta didik untuk duduk secara berkelompok.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6099" w:rsidRPr="00CD1704" w:rsidRDefault="00286099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CD1704" w:rsidRDefault="00BE52EE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mengamati Infografis. Infografis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9 menyajikan garis besar materi tentang menjadi pribadi yang jujur,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bertanggung jawab dan dapat dipercaya serta terhindar dari riba dalam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jual beli dan hutang piutang.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penjelasan tambahan apabila peserta didik belum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memahami infografis.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Selanjutnya guru meminta peserta didik untuk membaca Pantun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Pemantik. Pada Bab 9 Pantun Pemantik berisi Pantun Jenaka untuk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mendukung pemahaman bermakna pada topik yang dibahas. Setelah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membaca Pantun Pemantik, peserta didik dapat mengerjakan kegiatan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Aktivitas 1 yaitu respon terhadap pantun.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Setelah membaca Pantun Pemantik peserta didik diminta untuk untuk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membuat sebuah pantun nasehat untuk menghindari hutang atau riba.</w:t>
      </w:r>
    </w:p>
    <w:p w:rsidR="00BE52EE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membaca rubrik Mari bertafakur yang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berisi tentang kisah dua anak penjual tisu di atas jembatan penyebrangan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Jl. Setia Budi Jakarta. Dua anak itu berusia sekitar delapan tahun.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Setelah membaca rubrik Mari bertafakur peserta didik merespon rubrik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Mari Bertafakur dengan melakukan kegiatan Aktivitas 2.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Kemudian guru memberikan kata kunci topik yang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dibahas. Kata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kunci terdapat pada rubrik Titik Fokus.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mulai membahas materi pelajaran dan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kegiatan-kegiatan rubrik Ṭalab Al-Ilmi. Metode yang diterapkan untuk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mencapai Capaian Pembelajaran pada Bab 9 disarankan menggunakan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empat metode yang dibagi pada 4 pekan pertemuan yaitu:</w:t>
      </w:r>
    </w:p>
    <w:p w:rsidR="00CD1704" w:rsidRPr="00946599" w:rsidRDefault="00CD170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415F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>Pertemuan pertama: Numbered Head Together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Membentuk kelompok, masing-masing anggota kelompok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memperoleh nomor yang berbeda.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15F6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gramEnd"/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pertanyaan-pertanyaan kepada peserta didik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sesuai materi pembelajaran.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Siswa bersama kelompoknya membahas dan menyatukan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pendapatnya.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Guru memanggil peserta didik nomor tertentu kemudian yang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bersangkutan menjawab pertanyaan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peserta didik lain untuk memberikan tanggapan.</w:t>
      </w:r>
    </w:p>
    <w:p w:rsidR="00415F64" w:rsidRDefault="00415F6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1704" w:rsidRPr="00946599" w:rsidRDefault="00CD170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415F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pembelajaran berbasis masalah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Mengorientasikan masalah yang terkait dengan kasus toleransi.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Merumuskan jawaban atas permasalahan.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lastRenderedPageBreak/>
        <w:t>Peserta didik mempresentasikan hasil pemecahan masalah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Guru dan peserta didik mengevaluasi proses pemecahan masalah</w:t>
      </w:r>
    </w:p>
    <w:p w:rsidR="00415F64" w:rsidRDefault="00415F6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1704" w:rsidRPr="00946599" w:rsidRDefault="00CD170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415F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>Pertemuan ketiga: role playing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Guru menyampaikan materi pelajaran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Membentuk kelompok bermain peran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Bermain peran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Peserta didik mengisi lembar observasi (lembar pengamatan)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Mengadakan evaluasi dan penilaian</w:t>
      </w:r>
    </w:p>
    <w:p w:rsidR="00415F64" w:rsidRDefault="00415F6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D1704" w:rsidRPr="00946599" w:rsidRDefault="00CD1704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d) </w:t>
      </w:r>
      <w:r w:rsidR="00415F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46599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berbasis produk</w:t>
      </w:r>
    </w:p>
    <w:p w:rsidR="00CD1704" w:rsidRPr="00CD1704" w:rsidRDefault="00CD1704" w:rsidP="00946599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CD1704" w:rsidRPr="00415F6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>Peserta didik membuat paparan tentang jual beli, hutang piutang,</w:t>
      </w:r>
      <w:r w:rsidR="00415F64"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hAnsi="Times New Roman" w:cs="Times New Roman"/>
          <w:sz w:val="24"/>
          <w:szCs w:val="24"/>
          <w:lang w:val="en-US"/>
        </w:rPr>
        <w:t>dan riba.</w:t>
      </w:r>
    </w:p>
    <w:p w:rsidR="00CD1704" w:rsidRPr="00CD1704" w:rsidRDefault="00CD1704" w:rsidP="00946599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BE52EE" w:rsidRPr="00CD1704" w:rsidRDefault="00BE52EE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CD1704" w:rsidRDefault="00BE52EE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CD1704" w:rsidRDefault="00EF7F76" w:rsidP="00CD170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CD1704" w:rsidRDefault="00EF7F76" w:rsidP="00CD170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CD1704" w:rsidRDefault="00EF7F76" w:rsidP="00CD170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CD1704" w:rsidRDefault="00EF7F76" w:rsidP="00CD170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CD1704" w:rsidRDefault="003B68D9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415F64" w:rsidRDefault="00CD1704" w:rsidP="00415F64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 peserta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didik sebanyak jumlah peserta didik kemudian meminta mereka untuk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memberikan tanda centang (√) di bawah gambar emotikon wajah sesuai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keadaan sebenarnya.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1704" w:rsidRPr="00CD1704" w:rsidRDefault="00CD1704" w:rsidP="00415F64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946599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CD1704" w:rsidRPr="00CD1704" w:rsidRDefault="00CD1704" w:rsidP="00415F64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 empat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pilihan jawaban dan 5 soal uraian. Soal tersedia di buku peserta didik</w:t>
      </w:r>
    </w:p>
    <w:p w:rsidR="00946599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415F64" w:rsidRDefault="00CD1704" w:rsidP="00415F64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1704" w:rsidRPr="00CD1704" w:rsidRDefault="00CD1704" w:rsidP="00415F64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CD1704" w:rsidRPr="00CD1704" w:rsidRDefault="00CD1704" w:rsidP="00415F64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Membuat paparan tentang jual beli, hutang piutang, dan riba menurut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ketentuan fikih muamalah</w:t>
      </w:r>
    </w:p>
    <w:p w:rsidR="00946599" w:rsidRPr="00FF4AB5" w:rsidRDefault="00946599" w:rsidP="00946599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6599" w:rsidRPr="00FF4AB5" w:rsidRDefault="00946599" w:rsidP="00946599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6599" w:rsidRPr="00FF4AB5" w:rsidRDefault="00946599" w:rsidP="00946599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46599" w:rsidRPr="00FF4AB5" w:rsidRDefault="00946599" w:rsidP="00946599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6599" w:rsidRPr="00FF4AB5" w:rsidRDefault="00946599" w:rsidP="00946599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946599" w:rsidRPr="00FF4AB5" w:rsidTr="00415F64">
        <w:tc>
          <w:tcPr>
            <w:tcW w:w="533" w:type="dxa"/>
            <w:vMerge w:val="restart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946599" w:rsidRPr="00FF4AB5" w:rsidTr="00415F64">
        <w:tc>
          <w:tcPr>
            <w:tcW w:w="533" w:type="dxa"/>
            <w:vMerge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946599" w:rsidRPr="00FF4AB5" w:rsidTr="00415F64">
        <w:tc>
          <w:tcPr>
            <w:tcW w:w="533" w:type="dxa"/>
            <w:vMerge w:val="restart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 w:val="restart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 w:val="restart"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33" w:type="dxa"/>
            <w:vMerge/>
          </w:tcPr>
          <w:p w:rsidR="00946599" w:rsidRPr="00FF4AB5" w:rsidRDefault="00946599" w:rsidP="00415F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599" w:rsidRPr="00FF4AB5" w:rsidTr="00415F64">
        <w:tc>
          <w:tcPr>
            <w:tcW w:w="5811" w:type="dxa"/>
            <w:gridSpan w:val="2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946599" w:rsidRPr="00FF4AB5" w:rsidRDefault="00946599" w:rsidP="00415F6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6599" w:rsidRPr="00FF4AB5" w:rsidRDefault="00946599" w:rsidP="00946599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946599" w:rsidRPr="00127E7C" w:rsidRDefault="00946599" w:rsidP="00946599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946599" w:rsidRPr="00127E7C" w:rsidRDefault="00946599" w:rsidP="00946599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946599" w:rsidRPr="00127E7C" w:rsidRDefault="00946599" w:rsidP="00946599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946599" w:rsidRPr="00FF4AB5" w:rsidRDefault="00946599" w:rsidP="00946599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946599" w:rsidRPr="00F4529C" w:rsidRDefault="00946599" w:rsidP="00946599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946599" w:rsidRPr="00F4529C" w:rsidRDefault="00946599" w:rsidP="00946599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946599" w:rsidRPr="00F4529C" w:rsidTr="00415F64">
        <w:tc>
          <w:tcPr>
            <w:tcW w:w="2443" w:type="dxa"/>
            <w:vAlign w:val="center"/>
          </w:tcPr>
          <w:p w:rsidR="00946599" w:rsidRPr="00F4529C" w:rsidRDefault="00946599" w:rsidP="00415F6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946599" w:rsidRPr="00F4529C" w:rsidRDefault="00946599" w:rsidP="00415F6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946599" w:rsidRPr="00F4529C" w:rsidTr="00415F64">
        <w:tc>
          <w:tcPr>
            <w:tcW w:w="2443" w:type="dxa"/>
            <w:vAlign w:val="center"/>
          </w:tcPr>
          <w:p w:rsidR="00946599" w:rsidRPr="00F4529C" w:rsidRDefault="00946599" w:rsidP="00415F6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946599" w:rsidRPr="00F4529C" w:rsidRDefault="00946599" w:rsidP="00415F6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E52EE" w:rsidRPr="00CD1704" w:rsidRDefault="00BE52EE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415F64" w:rsidRDefault="009E73CE" w:rsidP="00415F6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CD1704" w:rsidRDefault="00CD1704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rubrik Selangkah Lebih Maju yang berjudul Kisah Abu Umamah Al-Bahili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Terhindar dari Hutang</w:t>
      </w:r>
    </w:p>
    <w:p w:rsidR="00BB6019" w:rsidRPr="00CD1704" w:rsidRDefault="00BB6019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F64" w:rsidRDefault="00062347" w:rsidP="00415F6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</w:p>
    <w:p w:rsidR="00062347" w:rsidRPr="00CD1704" w:rsidRDefault="00CD1704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muamalah,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jual beli, hutang piutang, riba. Remedial dilaksanakan pada waktu tertentu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sesuai perencanaan penilaian.</w:t>
      </w:r>
    </w:p>
    <w:p w:rsidR="00F04346" w:rsidRPr="00CD1704" w:rsidRDefault="00F04346" w:rsidP="00CD170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D1704" w:rsidRDefault="006433F5" w:rsidP="00CD170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415F64" w:rsidRDefault="00CD1704" w:rsidP="00415F64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  <w:r w:rsidR="00415F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1704" w:rsidRPr="00CD1704" w:rsidRDefault="00415F64" w:rsidP="00415F64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CD1704" w:rsidRPr="00CD1704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CD1704" w:rsidRPr="00415F64" w:rsidRDefault="00CD1704" w:rsidP="00415F6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5F64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415F64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gramEnd"/>
      <w:r w:rsidRPr="00415F64">
        <w:rPr>
          <w:rFonts w:ascii="Times New Roman" w:eastAsia="Times New Roman" w:hAnsi="Times New Roman" w:cs="Times New Roman"/>
          <w:sz w:val="24"/>
          <w:szCs w:val="24"/>
        </w:rPr>
        <w:t xml:space="preserve"> peserta didik membaca kisah inspiratif dalam rubrik</w:t>
      </w:r>
      <w:r w:rsidR="00415F64" w:rsidRPr="00415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CD1704" w:rsidRPr="00415F64" w:rsidRDefault="00CD1704" w:rsidP="00415F6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5F64">
        <w:rPr>
          <w:rFonts w:ascii="Times New Roman" w:eastAsia="Times New Roman" w:hAnsi="Times New Roman" w:cs="Times New Roman"/>
          <w:sz w:val="24"/>
          <w:szCs w:val="24"/>
        </w:rPr>
        <w:t>Guru meminta peserta didik menyimpulkan isi kisah inspiratif sebagai</w:t>
      </w:r>
      <w:r w:rsidR="00415F64" w:rsidRPr="00415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eastAsia="Times New Roman" w:hAnsi="Times New Roman" w:cs="Times New Roman"/>
          <w:sz w:val="24"/>
          <w:szCs w:val="24"/>
        </w:rPr>
        <w:t>bentuk refleksi diri.</w:t>
      </w:r>
    </w:p>
    <w:p w:rsidR="00CD1704" w:rsidRPr="00415F64" w:rsidRDefault="00CD1704" w:rsidP="00415F6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415F64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 melakukan</w:t>
      </w:r>
      <w:r w:rsidR="00415F64" w:rsidRPr="00415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eastAsia="Times New Roman" w:hAnsi="Times New Roman" w:cs="Times New Roman"/>
          <w:sz w:val="24"/>
          <w:szCs w:val="24"/>
        </w:rPr>
        <w:t>refleksi diri terkait dengan profil tersebut.</w:t>
      </w:r>
    </w:p>
    <w:p w:rsidR="009E73CE" w:rsidRPr="00415F64" w:rsidRDefault="00CD1704" w:rsidP="00415F6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15F64">
        <w:rPr>
          <w:rFonts w:ascii="Times New Roman" w:eastAsia="Times New Roman" w:hAnsi="Times New Roman" w:cs="Times New Roman"/>
          <w:sz w:val="24"/>
          <w:szCs w:val="24"/>
        </w:rPr>
        <w:t>Peserta didik dapat bermain game atau kuis dengan cara scan barcode</w:t>
      </w:r>
      <w:r w:rsidR="00415F64" w:rsidRPr="00415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eastAsia="Times New Roman" w:hAnsi="Times New Roman" w:cs="Times New Roman"/>
          <w:sz w:val="24"/>
          <w:szCs w:val="24"/>
        </w:rPr>
        <w:t>yang ada di pojok digital yang berfungsi sebagai asosiasi dalam proses</w:t>
      </w:r>
      <w:r w:rsidR="00415F64" w:rsidRPr="00415F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5F64">
        <w:rPr>
          <w:rFonts w:ascii="Times New Roman" w:eastAsia="Times New Roman" w:hAnsi="Times New Roman" w:cs="Times New Roman"/>
          <w:sz w:val="24"/>
          <w:szCs w:val="24"/>
        </w:rPr>
        <w:t>pembelajaran</w:t>
      </w:r>
    </w:p>
    <w:p w:rsidR="00062347" w:rsidRPr="00CD1704" w:rsidRDefault="00062347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CD1704" w:rsidRDefault="009274F2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CD1704" w:rsidRDefault="00F52DE4" w:rsidP="00CD170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D1704" w:rsidTr="00DB52C4">
        <w:tc>
          <w:tcPr>
            <w:tcW w:w="9639" w:type="dxa"/>
            <w:shd w:val="clear" w:color="auto" w:fill="FABF8F" w:themeFill="accent6" w:themeFillTint="99"/>
          </w:tcPr>
          <w:p w:rsidR="00F52DE4" w:rsidRPr="00CD1704" w:rsidRDefault="00F52DE4" w:rsidP="00CD170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CD1704" w:rsidRDefault="00F52DE4" w:rsidP="00CD170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D1704" w:rsidRDefault="009274F2" w:rsidP="00CD170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CD1704" w:rsidRDefault="00576728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CD1704" w:rsidRDefault="00576728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415F64" w:rsidRDefault="00CD1704" w:rsidP="00CD1704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5F64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CD1704" w:rsidRPr="00CD1704" w:rsidRDefault="00CD1704" w:rsidP="00CD170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Buatlah sebuah pantun nasehat untuk menghindari hutang atau riba</w:t>
      </w:r>
    </w:p>
    <w:p w:rsidR="00CD1704" w:rsidRPr="00CD1704" w:rsidRDefault="00CD1704" w:rsidP="00CD170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1704" w:rsidRPr="00EA0ABE" w:rsidRDefault="00CD1704" w:rsidP="00CD1704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Cerita ini dikutip dari akun callmebayu dalam situs komunitas daring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Kaskus. Akun tersebut bercerita tentang pengalamannya menyaksikan dua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anak penjual tisu di atas jembatan penyebrangan Jl. Setia Budi Jakarta. Dua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anak itu berusia sekitar delapan tahun.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Diceritakan ada dua anak yang terlihat sedang menawarkan tisu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 seorang perempuan yang melewati jembatan penyebrangan. Satu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bungkus tisu mereka jual dengan harga Rp. 2.500,-. Perempuan itu tampak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menyodorkan selembar uang Rp. 10.000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untuk membeli satu bungkus tisu.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Dua anak itu sepertinya tidak memiliki uang kembalian. Mereka meminta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agar dibayar dengan uang pas. Namun perempuan itu pun tidak memiliki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uang pas seperti yang diminta.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Salah satu anak itu pun bertanya ke beberapa orang di sekitar mereka.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mencari orang yang bisa menukar uang Rp.10.000 dengan pecahan.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Belum sampai mendapatkan uang pecahan yang dicarinya, perempuan tadi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bergegas pergi sambil mengatakan agar kembaliannya diambil saja. Setelah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beberapa langkah berlalu datang anak satunya sambil membawa uang Rp.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4000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untuk diberikan kepada perempuan itu.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Perempuan itu sebenarnya bermaksud untuk tidak menerimanya,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namun anak tadi memaksa agar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menerima kembaliannya. Anak itu juga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menyampaikan sisanya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dikembalikan kalau ia lewat tempat itu lagi.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Perempuan itu pun terpaksa menerimanya karena si anak segera berlalu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meninggalkan dirinya.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Adapun pecahan Rp. 4000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tadi didapatkan dari seorang laki-laki yang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kebetulan lewat di tempat itu. Laki-laki itu diminta menunggu sebentar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karena anak satunya sdeang menukarkan uang Rp.10.000 itu kepada tukang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parkir di bawah jembatan. Sejenak kemudian anak itu pun kembali sambil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mengembalikan uang Rp. 4000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,-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yang diterimanya dari laki-laki itu.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https://www.kaskus.co.id/thread/5417de30becb17e15a8b456b/untuk-direnungkan-kisah-kejujuran-dua-bocah-penjual-tissue-di-pinggirjalan/3</w:t>
      </w:r>
    </w:p>
    <w:p w:rsidR="00CD1704" w:rsidRPr="00CD1704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Diskusikan cerita tersebut dengan teman satu kelompok kalian. Nilainilai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saja yang dapat kalian temukan dari cerita tersebut?</w:t>
      </w:r>
    </w:p>
    <w:p w:rsidR="00CD1704" w:rsidRPr="00CD1704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Bandingkan dengan kelompok lain, apakah mereka menyimpulkan nilai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dengan kalian?</w:t>
      </w:r>
    </w:p>
    <w:p w:rsidR="009274F2" w:rsidRPr="00CD1704" w:rsidRDefault="009274F2" w:rsidP="00CD170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1704" w:rsidRPr="00EA0ABE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CD1704" w:rsidRPr="00EA0ABE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sz w:val="24"/>
          <w:szCs w:val="24"/>
          <w:lang w:val="en-US"/>
        </w:rPr>
        <w:t>Di antara aktivitas jual beli, hutang piutang dan riba yang dibahas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tersebut, adakah pengalaman berkesan yang pernah kalian alami?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Apakah pengalaman itu sesuai dengan rukun dan syarat dalam fikih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Islam?</w:t>
      </w:r>
    </w:p>
    <w:p w:rsidR="009274F2" w:rsidRPr="00EA0ABE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sz w:val="24"/>
          <w:szCs w:val="24"/>
          <w:lang w:val="en-US"/>
        </w:rPr>
        <w:t>Ceritakan pengalamanmu itu dengan teman satu kelompokmu. Pilihlah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satu pengalaman yang paling menarik. Diskusikan pengalaman itu,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apakah sudah sesuai dengan fikih muamalah?</w:t>
      </w:r>
    </w:p>
    <w:p w:rsidR="00CD1704" w:rsidRPr="00CD1704" w:rsidRDefault="00CD1704" w:rsidP="00CD170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1704" w:rsidRPr="00EA0ABE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CD1704" w:rsidRPr="00CD1704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Apakah kalian pernah melakukan transaksi jual beli online?</w:t>
      </w:r>
    </w:p>
    <w:p w:rsidR="00CD1704" w:rsidRPr="00EA0ABE" w:rsidRDefault="00CD1704" w:rsidP="00CD1704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sz w:val="24"/>
          <w:szCs w:val="24"/>
          <w:lang w:val="en-US"/>
        </w:rPr>
        <w:lastRenderedPageBreak/>
        <w:t>Diskusikan secara berkelompok, apakah pengalaman transaksi jual beli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online yang kalian alami sudah sesuai dengan rukun dan syarat dalam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jual beli?</w:t>
      </w:r>
    </w:p>
    <w:p w:rsidR="00CD1704" w:rsidRPr="00CD1704" w:rsidRDefault="00CD1704" w:rsidP="00CD170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1704" w:rsidRPr="00EA0ABE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CD1704" w:rsidRPr="00EA0ABE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Apakah kalian punya toko atau warung langganan? </w:t>
      </w:r>
      <w:proofErr w:type="gramStart"/>
      <w:r w:rsidRPr="00EA0ABE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yang menjadi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daya tarik kalian menjadi pelanggan setia di tempat itu? Apakah ada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nilai kejujuran dan tanggung jawab yang menarik perhatian kalian?</w:t>
      </w:r>
    </w:p>
    <w:p w:rsidR="00CD1704" w:rsidRPr="00EA0ABE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sz w:val="24"/>
          <w:szCs w:val="24"/>
          <w:lang w:val="en-US"/>
        </w:rPr>
        <w:t>Berbagilah pengalaman dengan teman satu kelompokmu. Pilih satu</w:t>
      </w:r>
      <w:r w:rsidR="00EA0ABE"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>pengalaman yang paling menginspirasi.</w:t>
      </w:r>
    </w:p>
    <w:p w:rsidR="009274F2" w:rsidRPr="00CD1704" w:rsidRDefault="009274F2" w:rsidP="00CD170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1704" w:rsidRPr="00EA0ABE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Perhatikan kisah berikut ini! Diskusikan secara kelompok! Simpulan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b/>
          <w:bCs/>
          <w:sz w:val="24"/>
          <w:szCs w:val="24"/>
          <w:lang w:val="en-US"/>
        </w:rPr>
        <w:t>Kisah Umar bin Khattab Gagal Berhutang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Suatu ketika, putra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amīr al-mu’minīn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Umar bin Khattab menangis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tersedu-sedu.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bercerita bahwa teman-temannya selalu mengolok dirinya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karena bajunya paling kumal. Sebagai seorang ayah, Umar memahami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kesedihan anaknya. Namun Umar tidak berdaya karena gajinya sebagai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amīr al-mu’minīn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hanya bisa untuk memenuhi kebutuhan primer.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Setelah berpikir lama, Umar memutuskan untuk meminjam uang kas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negara. Umar pun menulis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ke bendahara negara. Dia mengajukan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pinjaman hutang empat dirham dengan potongan gaji sebagai jaminan.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Tak berselang lama Umar mendapat balasan dari bendahara. ‘’Saya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dapat meluluskan pinjaman Anda sebesar empat dirham, dengan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memotong gaji Anda bulan depan sebagai jaminannya. Namun, apakah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Anda dapat memastikan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hidup sampai bulan depan?’’ demikian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balasan bendahara.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Setelah membaca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itu, Umar menggigil, matanya berkunangkunang.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Dia tersungkur bersujud seraya mengucap istighfar, memohon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ampunan Allah Swt. Umar kemudian menulis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kembali kepada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bendaharawan negara. Dia berterima kasih telah diingatkan serta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membatalkan niatnya berutang.</w:t>
      </w:r>
    </w:p>
    <w:p w:rsidR="00CD1704" w:rsidRPr="00CD1704" w:rsidRDefault="00CD1704" w:rsidP="00CD170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Sesudah itu, Umar memanggil putranya dan berkata, ‘’Wahai anakku,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ayahmu tidak dapat memperhitungkan umurnya walaupun hanya sesaat.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Ayahmu juga tidak ingin mewariskan utang kepadamu. Sudah terlalu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banyak hal yang harus ayahmu pertanggungjawabkan ke hadapan Allah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Swt di akhirat nanti. Karena itu, ayah membatalkan niat meminjam uang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untuk membeli baju barumu. Jadi, besok pakailah bajumu yang biasa.’’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https://republika.co.id/berita/q6s19u320/kisah-khalifahumar-bin-khattab-yang-gagal-berutang</w:t>
      </w:r>
    </w:p>
    <w:p w:rsidR="00CD1704" w:rsidRPr="00CD1704" w:rsidRDefault="00CD1704" w:rsidP="00CD1704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CD1704" w:rsidRPr="00EA0ABE" w:rsidRDefault="00CD1704" w:rsidP="00CD1704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Membantu kesulitan orang lain ikhlas karena Allah Swt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Jujur dan bertanggungjawab dalam berinteraksi sosial dengan sesama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Menolak praktik jual beli dan hutang piutang yang eksploitatif terhadap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masyarakat miskin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Toleran terhadap perbedaan hukum bunga bank dan menghargai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perbedaan sikap masyarakat yang berbeda terhadap hukum bunga bank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Membantu teman yang membutuhkan bantuan</w:t>
      </w:r>
    </w:p>
    <w:p w:rsidR="00CD1704" w:rsidRPr="00CD1704" w:rsidRDefault="00CD1704" w:rsidP="00EA0ABE">
      <w:pPr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Membantu sesama secara kreatif</w:t>
      </w:r>
    </w:p>
    <w:p w:rsidR="00CD1704" w:rsidRPr="00CD1704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CD1704" w:rsidRPr="00CD1704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CD1704" w:rsidRPr="00CD1704" w:rsidRDefault="00CD1704" w:rsidP="00EA0ABE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lastRenderedPageBreak/>
        <w:t>Narasikan pendapat dan pandangan kalian di buku tulis masing-masing!</w:t>
      </w:r>
    </w:p>
    <w:p w:rsidR="009274F2" w:rsidRPr="00CD1704" w:rsidRDefault="009274F2" w:rsidP="00CD170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D1704" w:rsidRDefault="009274F2" w:rsidP="00CD170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9B2FAE" w:rsidRDefault="009B2FAE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CD1704" w:rsidRDefault="001975B5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CD1704" w:rsidRDefault="00335D13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Allah Swt juga menciptakan manusia dengan potensi ketakwaan dan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kejahatan. Selain memiliki kecenderungan untuk bertakwa, manusia juga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berpotensi memiliki sifat tamak dan rakus yang dapat merugikan orang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lain. Oleh karena itu perlu ada ketentuan yang mengatur interaksi itu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agar menghasilkan kemaslahatan bersama dan terhindar dari kejahatan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terhadap sesama. Untuk tujuan ini Islam menetapkan syari’at yang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mengatur interaksi antar sesama manusia yang diperinci oleh para ulama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dalam fikih muamalah.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Di antara fikih muamalah itu adalah jual beli dan hutang piutang. Fikih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mamalah menetapkan rukun dan syarat yang berkaitan dengan persoalan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ini. Dengan penetapan rukun dan syarat transaksi jual beli dan hutang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diharapkan berkeadilan dan menghasilkan kemaslahatan serta tidak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merugikan dua belah pihak.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Ada perbedaan pandangan di kalangan ulama tentang implementasi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fikih muamalah di era modern, khususnya terkait dengan bunga bank.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Belum ada kesepakatan ulama yang menghalalkan atau mengharamkan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bunga bank. Ada yang melihatnya sebagai riba, ada pula yang tidak, serta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ada yang memandangnya sebagai </w:t>
      </w:r>
      <w:r w:rsidRPr="00EA0ABE">
        <w:rPr>
          <w:rFonts w:ascii="Times New Roman" w:hAnsi="Times New Roman" w:cs="Times New Roman"/>
          <w:sz w:val="24"/>
          <w:szCs w:val="24"/>
          <w:lang w:val="en-US"/>
        </w:rPr>
        <w:t xml:space="preserve">syubhat.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Terhadap perbedaan seperti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ini, kita harus mengedepankan toleransi dan sikap saling menghargai.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Soal pendapat mana yang dipilih dikembalikan kepada kemantapan hati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masing-masing.</w:t>
      </w:r>
    </w:p>
    <w:p w:rsidR="00CD1704" w:rsidRPr="00CD1704" w:rsidRDefault="00CD1704" w:rsidP="00EA0AB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Melalui fikih muamalah, Islam ingin menghadirkan praktik jual beli dan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hutang piutang yang adil berdasarkan kejujuran, tanggung jawab, dan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kepercayaan. Seorang yang dikenal jujur dan bertanggung jawab juga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tidak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kesulitan mengajukan pinjaman dana ke pihak lain, baik untuk</w:t>
      </w:r>
      <w:r w:rsidR="00EA0A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tambahan modal usaha maupun kepentingan yang lain.</w:t>
      </w:r>
    </w:p>
    <w:p w:rsidR="009274F2" w:rsidRDefault="009274F2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B2FAE" w:rsidRPr="00CD1704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CD1704" w:rsidRDefault="009274F2" w:rsidP="00CD170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9B2FAE" w:rsidRDefault="009B2FAE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CD1704" w:rsidRDefault="00BE56A6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CD1704" w:rsidRDefault="00335D13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A0ABE" w:rsidRPr="00EA0ABE" w:rsidRDefault="00CD1704" w:rsidP="00EA0ABE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Muamalah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781F2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A0ABE" w:rsidRPr="00EA0A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Hubungan antar manusia, hubungan sosial, atau hablum minannas.</w:t>
      </w:r>
    </w:p>
    <w:p w:rsidR="00EA0ABE" w:rsidRPr="00EA0ABE" w:rsidRDefault="00CD1704" w:rsidP="00EA0ABE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Jual beli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781F2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A0ABE" w:rsidRPr="00EA0A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Suatu perjanjian tukar-menukar benda atau barang yang mempunyai nilai secara sukarela diantara kedua belah pihak, yang satu menerima benda-benda dan pihak lain menerimanya sesuai dengan perjanjian atau ketentuan yang telah dibenarkan syara' dan disepakati.</w:t>
      </w:r>
    </w:p>
    <w:p w:rsidR="00EA0ABE" w:rsidRPr="00EA0ABE" w:rsidRDefault="00CD1704" w:rsidP="00EA0ABE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Hutang Piutang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781F2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A0ABE" w:rsidRPr="00EA0A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Uang yang dipinjamkan dari orang lain.</w:t>
      </w:r>
    </w:p>
    <w:p w:rsidR="009274F2" w:rsidRPr="00EA0ABE" w:rsidRDefault="00CD1704" w:rsidP="00EA0ABE">
      <w:pPr>
        <w:tabs>
          <w:tab w:val="left" w:pos="1843"/>
          <w:tab w:val="left" w:pos="1985"/>
        </w:tabs>
        <w:spacing w:before="60" w:after="60" w:line="240" w:lineRule="auto"/>
        <w:ind w:left="1985" w:hanging="1985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A0ABE">
        <w:rPr>
          <w:rFonts w:ascii="Times New Roman" w:hAnsi="Times New Roman" w:cs="Times New Roman"/>
          <w:b/>
          <w:sz w:val="24"/>
          <w:szCs w:val="24"/>
          <w:lang w:val="en-US"/>
        </w:rPr>
        <w:t>Riba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0ABE" w:rsidRPr="00EA0AB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="00781F2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A0ABE" w:rsidRPr="00EA0AB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Tambahan yang disyaratkan dan diterima pemberi pinjaman sebagai imbalan dari peminjam utang.</w:t>
      </w:r>
    </w:p>
    <w:p w:rsidR="00E40E09" w:rsidRDefault="00E40E09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2FAE" w:rsidRPr="00CD1704" w:rsidRDefault="009B2FAE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90895" w:rsidRPr="00CD1704" w:rsidRDefault="009274F2" w:rsidP="00CD170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D17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4</w:t>
      </w:r>
    </w:p>
    <w:p w:rsidR="009B2FAE" w:rsidRDefault="009B2FAE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CD1704" w:rsidRDefault="00BE56A6" w:rsidP="00CD17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1704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CD1704" w:rsidRDefault="00335D13" w:rsidP="00CD17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D1704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lastRenderedPageBreak/>
        <w:t>Syaikh Muhammad Bin Shalih Al-Utsaimin, 2010.Syarah Shahih Al-Bukhari Jilid 4, Jakarta: Darus Sunnah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CD1704" w:rsidRDefault="00BB6019" w:rsidP="00CD170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D1704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CD1704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CD1704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CD1704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BFE40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82C07"/>
    <w:rsid w:val="003958D1"/>
    <w:rsid w:val="003A7D52"/>
    <w:rsid w:val="003B68D9"/>
    <w:rsid w:val="003D2352"/>
    <w:rsid w:val="003D7D6D"/>
    <w:rsid w:val="003F2005"/>
    <w:rsid w:val="004036E0"/>
    <w:rsid w:val="00405544"/>
    <w:rsid w:val="00407E9A"/>
    <w:rsid w:val="00415F64"/>
    <w:rsid w:val="00444FF9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4670B"/>
    <w:rsid w:val="00562792"/>
    <w:rsid w:val="00563480"/>
    <w:rsid w:val="00576728"/>
    <w:rsid w:val="005821C4"/>
    <w:rsid w:val="005A14BB"/>
    <w:rsid w:val="005A726E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1DAE"/>
    <w:rsid w:val="006A6AB9"/>
    <w:rsid w:val="006C19DB"/>
    <w:rsid w:val="007015EE"/>
    <w:rsid w:val="007075CA"/>
    <w:rsid w:val="007206FC"/>
    <w:rsid w:val="007243C2"/>
    <w:rsid w:val="00731017"/>
    <w:rsid w:val="0075195E"/>
    <w:rsid w:val="00781F25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D0A64"/>
    <w:rsid w:val="008E5E43"/>
    <w:rsid w:val="008F121B"/>
    <w:rsid w:val="00916F95"/>
    <w:rsid w:val="009274F2"/>
    <w:rsid w:val="0093014A"/>
    <w:rsid w:val="00946599"/>
    <w:rsid w:val="00961E94"/>
    <w:rsid w:val="00971A0B"/>
    <w:rsid w:val="00977105"/>
    <w:rsid w:val="009B2FAE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38E7"/>
    <w:rsid w:val="00AD435F"/>
    <w:rsid w:val="00AD75B9"/>
    <w:rsid w:val="00B03B4B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1704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0ABE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50BD"/>
  <w15:docId w15:val="{A002E789-6221-4FBC-A81B-5FAEB25E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162</cp:revision>
  <dcterms:created xsi:type="dcterms:W3CDTF">2022-02-21T23:21:00Z</dcterms:created>
  <dcterms:modified xsi:type="dcterms:W3CDTF">2024-07-29T17:06:00Z</dcterms:modified>
</cp:coreProperties>
</file>